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C0B0" w14:textId="64C20B40" w:rsidR="00D16904" w:rsidRDefault="00A64F13" w:rsidP="004948DC">
      <w:pPr>
        <w:jc w:val="center"/>
        <w:rPr>
          <w:b/>
          <w:bCs/>
          <w:sz w:val="28"/>
          <w:szCs w:val="28"/>
        </w:rPr>
      </w:pPr>
      <w:r w:rsidRPr="004948DC">
        <w:rPr>
          <w:b/>
          <w:bCs/>
          <w:sz w:val="28"/>
          <w:szCs w:val="28"/>
        </w:rPr>
        <w:t xml:space="preserve">L’imposta patrimoniale: le analisi e le proposte del World </w:t>
      </w:r>
      <w:proofErr w:type="spellStart"/>
      <w:r w:rsidRPr="004948DC">
        <w:rPr>
          <w:b/>
          <w:bCs/>
          <w:sz w:val="28"/>
          <w:szCs w:val="28"/>
        </w:rPr>
        <w:t>Inequality</w:t>
      </w:r>
      <w:proofErr w:type="spellEnd"/>
      <w:r w:rsidRPr="004948DC">
        <w:rPr>
          <w:b/>
          <w:bCs/>
          <w:sz w:val="28"/>
          <w:szCs w:val="28"/>
        </w:rPr>
        <w:t xml:space="preserve"> Lab</w:t>
      </w:r>
    </w:p>
    <w:p w14:paraId="033692A3" w14:textId="5FA41868" w:rsidR="000D39BA" w:rsidRDefault="000D39BA" w:rsidP="004948DC">
      <w:pPr>
        <w:jc w:val="center"/>
        <w:rPr>
          <w:b/>
          <w:bCs/>
          <w:sz w:val="28"/>
          <w:szCs w:val="28"/>
        </w:rPr>
      </w:pPr>
    </w:p>
    <w:p w14:paraId="35493988" w14:textId="52AD5E31" w:rsidR="000D39BA" w:rsidRPr="000D39BA" w:rsidRDefault="000D39BA" w:rsidP="004948DC">
      <w:pPr>
        <w:jc w:val="center"/>
      </w:pPr>
      <w:r w:rsidRPr="000D39BA">
        <w:t>Testo a cura di Giorgio d’Amico</w:t>
      </w:r>
    </w:p>
    <w:p w14:paraId="308A4E81" w14:textId="6900A0E5" w:rsidR="004948DC" w:rsidRPr="000D39BA" w:rsidRDefault="000D39BA" w:rsidP="004948DC">
      <w:pPr>
        <w:jc w:val="center"/>
        <w:rPr>
          <w:sz w:val="28"/>
          <w:szCs w:val="28"/>
        </w:rPr>
      </w:pPr>
      <w:r w:rsidRPr="000D39BA">
        <w:rPr>
          <w:sz w:val="28"/>
          <w:szCs w:val="28"/>
        </w:rPr>
        <w:t>^^^^^</w:t>
      </w:r>
    </w:p>
    <w:p w14:paraId="3E093ABA" w14:textId="670878D8" w:rsidR="00A64F13" w:rsidRDefault="00A64F13">
      <w:r>
        <w:t xml:space="preserve"> </w:t>
      </w:r>
    </w:p>
    <w:p w14:paraId="2E66304B" w14:textId="702D30CD" w:rsidR="00A64F13" w:rsidRPr="00312E47" w:rsidRDefault="00A64F13" w:rsidP="00A64F13">
      <w:pPr>
        <w:pStyle w:val="Paragrafoelenco"/>
        <w:numPr>
          <w:ilvl w:val="0"/>
          <w:numId w:val="1"/>
        </w:numPr>
        <w:rPr>
          <w:b/>
          <w:bCs/>
        </w:rPr>
      </w:pPr>
      <w:r w:rsidRPr="00312E47">
        <w:rPr>
          <w:b/>
          <w:bCs/>
        </w:rPr>
        <w:t>Premessa</w:t>
      </w:r>
    </w:p>
    <w:p w14:paraId="10B60C35" w14:textId="77777777" w:rsidR="00A64F13" w:rsidRDefault="00A64F13" w:rsidP="00A64F13">
      <w:pPr>
        <w:pStyle w:val="Paragrafoelenco"/>
      </w:pPr>
    </w:p>
    <w:p w14:paraId="43765504" w14:textId="5C76499F" w:rsidR="003A74D1" w:rsidRDefault="003A74D1" w:rsidP="00A64F13">
      <w:pPr>
        <w:pStyle w:val="Paragrafoelenco"/>
      </w:pPr>
      <w:r>
        <w:t>Poche questioni sono più impopolari, oggi in Italia, d</w:t>
      </w:r>
      <w:r w:rsidR="00E269B1">
        <w:t>i un’</w:t>
      </w:r>
      <w:r>
        <w:t>imposta patrimoniale progressiva</w:t>
      </w:r>
      <w:r w:rsidR="00E269B1">
        <w:t xml:space="preserve"> (</w:t>
      </w:r>
      <w:r>
        <w:t xml:space="preserve">è </w:t>
      </w:r>
      <w:r w:rsidR="00396070">
        <w:t xml:space="preserve">infatti </w:t>
      </w:r>
      <w:r>
        <w:t xml:space="preserve">di moda dire, a proposito del pagamento delle tasse, che lo stato “mette le mani nelle nostre tasche”, espressione, </w:t>
      </w:r>
      <w:r w:rsidR="00CF4DF8">
        <w:t xml:space="preserve">peraltro, </w:t>
      </w:r>
      <w:r>
        <w:t>di rara volgarità</w:t>
      </w:r>
      <w:r w:rsidR="00E269B1">
        <w:t>),</w:t>
      </w:r>
      <w:r w:rsidR="00472E77">
        <w:t xml:space="preserve"> </w:t>
      </w:r>
      <w:r w:rsidR="00E269B1">
        <w:t>e</w:t>
      </w:r>
      <w:r w:rsidR="00472E77">
        <w:t xml:space="preserve">ppure il problema della vertiginosa e </w:t>
      </w:r>
      <w:r w:rsidR="00396070">
        <w:t xml:space="preserve">sempre </w:t>
      </w:r>
      <w:r w:rsidR="00472E77">
        <w:t>crescente concentrazione della ricchezza è sotto i nostri occhi</w:t>
      </w:r>
      <w:r w:rsidR="00396070">
        <w:t>, lo abbiamo analizzato – sommariamente – nel nostro quaderno n.2 dedicato alla disuguaglianza economica e lo possiamo riassumere nei seguenti 4 numeri</w:t>
      </w:r>
      <w:r w:rsidR="00472E77">
        <w:t>:</w:t>
      </w:r>
    </w:p>
    <w:p w14:paraId="5DEA34C7" w14:textId="7CF78F28" w:rsidR="005216A6" w:rsidRDefault="005216A6" w:rsidP="00A64F13">
      <w:pPr>
        <w:pStyle w:val="Paragrafoelenco"/>
      </w:pPr>
    </w:p>
    <w:p w14:paraId="403BF2B5" w14:textId="40F33C1E" w:rsidR="005216A6" w:rsidRDefault="005216A6" w:rsidP="00A64F13">
      <w:pPr>
        <w:pStyle w:val="Paragrafoelenco"/>
      </w:pPr>
      <w:r>
        <w:t>2020 – Ricchezza detenuta dall’1%</w:t>
      </w:r>
      <w:r w:rsidR="00CF4DF8">
        <w:t xml:space="preserve"> </w:t>
      </w:r>
      <w:r>
        <w:t>più ricco e dal 50% più povero della popolazione</w:t>
      </w:r>
      <w:r w:rsidR="00DD7310">
        <w:rPr>
          <w:rStyle w:val="Rimandonotaapidipagina"/>
        </w:rPr>
        <w:footnoteReference w:id="1"/>
      </w:r>
    </w:p>
    <w:p w14:paraId="745A92C2" w14:textId="51BD1ABB" w:rsidR="005216A6" w:rsidRDefault="005216A6" w:rsidP="00A64F13">
      <w:pPr>
        <w:pStyle w:val="Paragrafoelenco"/>
      </w:pPr>
    </w:p>
    <w:p w14:paraId="5EB76B3F" w14:textId="534DF24D" w:rsidR="005216A6" w:rsidRDefault="005C0AE3" w:rsidP="005C0AE3">
      <w:pPr>
        <w:pStyle w:val="Paragrafoelenco"/>
        <w:ind w:left="2124"/>
      </w:pPr>
      <w:r>
        <w:t xml:space="preserve">                     1% più ricco       50% più povero</w:t>
      </w:r>
    </w:p>
    <w:p w14:paraId="7055657D" w14:textId="77777777" w:rsidR="005C0AE3" w:rsidRDefault="005C0AE3" w:rsidP="005C0AE3">
      <w:pPr>
        <w:pStyle w:val="Paragrafoelenco"/>
        <w:ind w:left="2124"/>
      </w:pPr>
    </w:p>
    <w:p w14:paraId="61619229" w14:textId="0B589351" w:rsidR="005216A6" w:rsidRDefault="005216A6" w:rsidP="005C0AE3">
      <w:pPr>
        <w:pStyle w:val="Paragrafoelenco"/>
        <w:ind w:left="2124"/>
      </w:pPr>
      <w:r>
        <w:t xml:space="preserve">Europa       </w:t>
      </w:r>
      <w:r w:rsidR="005C0AE3">
        <w:t xml:space="preserve"> </w:t>
      </w:r>
      <w:r>
        <w:t xml:space="preserve">      22%               </w:t>
      </w:r>
      <w:r w:rsidR="005C0AE3">
        <w:t xml:space="preserve">        </w:t>
      </w:r>
      <w:r>
        <w:t xml:space="preserve">   5%</w:t>
      </w:r>
    </w:p>
    <w:p w14:paraId="6339310A" w14:textId="3A8406F7" w:rsidR="005216A6" w:rsidRDefault="005216A6" w:rsidP="005C0AE3">
      <w:pPr>
        <w:pStyle w:val="Paragrafoelenco"/>
        <w:ind w:left="2124"/>
      </w:pPr>
      <w:r>
        <w:t xml:space="preserve">USA                 </w:t>
      </w:r>
      <w:r w:rsidR="005C0AE3">
        <w:t xml:space="preserve"> </w:t>
      </w:r>
      <w:r>
        <w:t xml:space="preserve"> </w:t>
      </w:r>
      <w:r w:rsidR="005C0AE3">
        <w:t>36%                          2%</w:t>
      </w:r>
    </w:p>
    <w:p w14:paraId="760C0B0B" w14:textId="4710929E" w:rsidR="00472E77" w:rsidRDefault="00472E77" w:rsidP="00472E77">
      <w:pPr>
        <w:pStyle w:val="Paragrafoelenco"/>
      </w:pPr>
    </w:p>
    <w:p w14:paraId="61D58758" w14:textId="7E58EA29" w:rsidR="00472E77" w:rsidRDefault="00396070" w:rsidP="00472E77">
      <w:pPr>
        <w:pStyle w:val="Paragrafoelenco"/>
      </w:pPr>
      <w:r>
        <w:t>F</w:t>
      </w:r>
      <w:r w:rsidR="00472E77">
        <w:t xml:space="preserve">ino a quando potremo permetterci di chiudere gli occhi e ignorare </w:t>
      </w:r>
      <w:r>
        <w:t>un</w:t>
      </w:r>
      <w:r w:rsidR="00472E77">
        <w:t xml:space="preserve"> problema</w:t>
      </w:r>
      <w:r>
        <w:t xml:space="preserve"> che già costituisce una emergenza democratica</w:t>
      </w:r>
      <w:r w:rsidR="00472E77">
        <w:t>?</w:t>
      </w:r>
    </w:p>
    <w:p w14:paraId="7483DE52" w14:textId="77777777" w:rsidR="00430FF8" w:rsidRDefault="00430FF8" w:rsidP="005C0AE3">
      <w:pPr>
        <w:pStyle w:val="Paragrafoelenco"/>
        <w:ind w:left="2124"/>
      </w:pPr>
    </w:p>
    <w:p w14:paraId="37D7EA60" w14:textId="0C856D0F" w:rsidR="00430FF8" w:rsidRDefault="00B16A16" w:rsidP="00A64F13">
      <w:pPr>
        <w:pStyle w:val="Paragrafoelenco"/>
      </w:pPr>
      <w:r>
        <w:t xml:space="preserve">Il World </w:t>
      </w:r>
      <w:proofErr w:type="spellStart"/>
      <w:r>
        <w:t>Inequality</w:t>
      </w:r>
      <w:proofErr w:type="spellEnd"/>
      <w:r>
        <w:t xml:space="preserve"> Lab è un gruppo di più di cento studiosi </w:t>
      </w:r>
      <w:r w:rsidR="00430FF8">
        <w:t>e ricercatori di ogni paese</w:t>
      </w:r>
      <w:r>
        <w:t xml:space="preserve"> che da anni raccoglie dati e studia la disuguaglianza economica in tutti i paesi del mondo e</w:t>
      </w:r>
      <w:r w:rsidR="00430FF8">
        <w:t xml:space="preserve"> pubblica regolarmente un rapporto sullo stato della disuguaglianza economica, ma anche di genere ed ecologica, nel mondo, basat</w:t>
      </w:r>
      <w:r w:rsidR="00396070">
        <w:t>o</w:t>
      </w:r>
      <w:r w:rsidR="00430FF8">
        <w:t xml:space="preserve"> su un’amplissima messe di dati raccolti e mantenuti aggiornati nel World </w:t>
      </w:r>
      <w:proofErr w:type="spellStart"/>
      <w:r w:rsidR="00430FF8">
        <w:t>Inequality</w:t>
      </w:r>
      <w:proofErr w:type="spellEnd"/>
      <w:r w:rsidR="00430FF8">
        <w:t xml:space="preserve"> Database (WID)</w:t>
      </w:r>
      <w:r w:rsidR="00FD5971">
        <w:rPr>
          <w:rStyle w:val="Rimandonotaapidipagina"/>
        </w:rPr>
        <w:footnoteReference w:id="2"/>
      </w:r>
      <w:r w:rsidR="00BA2C53">
        <w:t>, che è aperto e disponibile per chiunque voglia consultarlo.</w:t>
      </w:r>
    </w:p>
    <w:p w14:paraId="78441DB6" w14:textId="6834B817" w:rsidR="00BA2C53" w:rsidRDefault="00BA2C53" w:rsidP="00A64F13">
      <w:pPr>
        <w:pStyle w:val="Paragrafoelenco"/>
      </w:pPr>
    </w:p>
    <w:p w14:paraId="498736A0" w14:textId="23BE6BE1" w:rsidR="00BA2C53" w:rsidRDefault="00BA2C53" w:rsidP="00A64F13">
      <w:pPr>
        <w:pStyle w:val="Paragrafoelenco"/>
      </w:pPr>
      <w:r>
        <w:t xml:space="preserve">Il rapporto del 2022 – World </w:t>
      </w:r>
      <w:proofErr w:type="spellStart"/>
      <w:r>
        <w:t>Inequality</w:t>
      </w:r>
      <w:proofErr w:type="spellEnd"/>
      <w:r>
        <w:t xml:space="preserve"> Report 2022</w:t>
      </w:r>
      <w:r w:rsidR="008571B4">
        <w:rPr>
          <w:rStyle w:val="Rimandonotaapidipagina"/>
        </w:rPr>
        <w:footnoteReference w:id="3"/>
      </w:r>
      <w:r>
        <w:t xml:space="preserve"> – non solo contiene una straordinaria messe di informazioni analizzate e commentate (comprese ampie schede dedicate specificatamente a 26 paesi)</w:t>
      </w:r>
      <w:r w:rsidR="007D0200">
        <w:t xml:space="preserve"> relative </w:t>
      </w:r>
      <w:r w:rsidR="00CF4DF8">
        <w:t>a diverse forme di</w:t>
      </w:r>
      <w:r w:rsidR="007D0200">
        <w:t xml:space="preserve"> disuguaglianza nel mondo</w:t>
      </w:r>
      <w:r w:rsidR="00CF4DF8">
        <w:t xml:space="preserve"> (di reddito, di patrimonio, di impronta ecologica, di genere)</w:t>
      </w:r>
      <w:r w:rsidR="004948DC">
        <w:t xml:space="preserve">, ma </w:t>
      </w:r>
      <w:r w:rsidR="00CA41B0">
        <w:t xml:space="preserve">concentra la propria analisi sulla più stridente delle disuguaglianze, quella di ricchezza, ed </w:t>
      </w:r>
      <w:r w:rsidR="004948DC">
        <w:t xml:space="preserve">espone alcune proposte per contrastare o limitare </w:t>
      </w:r>
      <w:r w:rsidR="00F25411">
        <w:t>tale</w:t>
      </w:r>
      <w:r w:rsidR="004948DC">
        <w:t xml:space="preserve"> disuguaglianza. Fra queste particolare attenzione viene dedicata al tema della possibile tassazione</w:t>
      </w:r>
      <w:r w:rsidR="00DD7310">
        <w:t xml:space="preserve"> dei patrimoni</w:t>
      </w:r>
      <w:r w:rsidR="004948DC">
        <w:t xml:space="preserve">, che viene dettagliatamente discussa e analizzata, essendo considerata, dagli estensori del rapporto, una misura </w:t>
      </w:r>
      <w:r w:rsidR="001843B2">
        <w:t xml:space="preserve">redistributiva </w:t>
      </w:r>
      <w:r w:rsidR="004948DC">
        <w:t>fondamentale per contrastare il processo di concentrazione della ricchezza.</w:t>
      </w:r>
    </w:p>
    <w:p w14:paraId="6D27A9DB" w14:textId="7F3D6372" w:rsidR="00423E8C" w:rsidRDefault="00423E8C" w:rsidP="00A64F13">
      <w:pPr>
        <w:pStyle w:val="Paragrafoelenco"/>
      </w:pPr>
    </w:p>
    <w:p w14:paraId="711D0A11" w14:textId="5B3D541A" w:rsidR="00423E8C" w:rsidRDefault="00423E8C" w:rsidP="00A64F13">
      <w:pPr>
        <w:pStyle w:val="Paragrafoelenco"/>
      </w:pPr>
      <w:r>
        <w:t xml:space="preserve">Gli estensori del rapporto concludono la loro introduzione con l’invito </w:t>
      </w:r>
      <w:r w:rsidRPr="00FD5971">
        <w:rPr>
          <w:i/>
          <w:iCs/>
        </w:rPr>
        <w:t xml:space="preserve">Read it, </w:t>
      </w:r>
      <w:proofErr w:type="spellStart"/>
      <w:r w:rsidRPr="00FD5971">
        <w:rPr>
          <w:i/>
          <w:iCs/>
        </w:rPr>
        <w:t>shout</w:t>
      </w:r>
      <w:proofErr w:type="spellEnd"/>
      <w:r w:rsidRPr="00FD5971">
        <w:rPr>
          <w:i/>
          <w:iCs/>
        </w:rPr>
        <w:t xml:space="preserve"> out</w:t>
      </w:r>
      <w:r w:rsidR="00F375A9" w:rsidRPr="00FD5971">
        <w:rPr>
          <w:i/>
          <w:iCs/>
        </w:rPr>
        <w:t xml:space="preserve"> </w:t>
      </w:r>
      <w:proofErr w:type="spellStart"/>
      <w:r w:rsidR="00F375A9" w:rsidRPr="00FD5971">
        <w:rPr>
          <w:i/>
          <w:iCs/>
        </w:rPr>
        <w:t>its</w:t>
      </w:r>
      <w:proofErr w:type="spellEnd"/>
      <w:r w:rsidR="00F375A9" w:rsidRPr="00FD5971">
        <w:rPr>
          <w:i/>
          <w:iCs/>
        </w:rPr>
        <w:t xml:space="preserve"> </w:t>
      </w:r>
      <w:proofErr w:type="spellStart"/>
      <w:r w:rsidR="00F375A9" w:rsidRPr="00FD5971">
        <w:rPr>
          <w:i/>
          <w:iCs/>
        </w:rPr>
        <w:t>messages</w:t>
      </w:r>
      <w:proofErr w:type="spellEnd"/>
      <w:r w:rsidR="00F375A9" w:rsidRPr="00FD5971">
        <w:rPr>
          <w:i/>
          <w:iCs/>
        </w:rPr>
        <w:t xml:space="preserve">, </w:t>
      </w:r>
      <w:proofErr w:type="spellStart"/>
      <w:r w:rsidR="00F375A9" w:rsidRPr="00FD5971">
        <w:rPr>
          <w:i/>
          <w:iCs/>
        </w:rPr>
        <w:t>find</w:t>
      </w:r>
      <w:proofErr w:type="spellEnd"/>
      <w:r w:rsidR="00F375A9" w:rsidRPr="00FD5971">
        <w:rPr>
          <w:i/>
          <w:iCs/>
        </w:rPr>
        <w:t xml:space="preserve"> ways to act </w:t>
      </w:r>
      <w:proofErr w:type="spellStart"/>
      <w:r w:rsidR="00F375A9" w:rsidRPr="00FD5971">
        <w:rPr>
          <w:i/>
          <w:iCs/>
        </w:rPr>
        <w:t>upon</w:t>
      </w:r>
      <w:proofErr w:type="spellEnd"/>
      <w:r w:rsidR="00F375A9" w:rsidRPr="00FD5971">
        <w:rPr>
          <w:i/>
          <w:iCs/>
        </w:rPr>
        <w:t xml:space="preserve"> </w:t>
      </w:r>
      <w:proofErr w:type="spellStart"/>
      <w:r w:rsidR="00F375A9" w:rsidRPr="00FD5971">
        <w:rPr>
          <w:i/>
          <w:iCs/>
        </w:rPr>
        <w:t>it</w:t>
      </w:r>
      <w:proofErr w:type="spellEnd"/>
      <w:r w:rsidR="00F375A9">
        <w:t xml:space="preserve">: è in questo spirito che </w:t>
      </w:r>
      <w:r w:rsidR="001843B2">
        <w:t>prov</w:t>
      </w:r>
      <w:r w:rsidR="00CA41B0">
        <w:t>iamo</w:t>
      </w:r>
      <w:r w:rsidR="001843B2">
        <w:t xml:space="preserve"> ad esporre sinteticamente</w:t>
      </w:r>
      <w:r w:rsidR="00F375A9">
        <w:t xml:space="preserve">, qui </w:t>
      </w:r>
      <w:r w:rsidR="00F375A9">
        <w:lastRenderedPageBreak/>
        <w:t xml:space="preserve">di seguito, </w:t>
      </w:r>
      <w:r w:rsidR="001843B2">
        <w:t xml:space="preserve">le analisi e le proposte contenute </w:t>
      </w:r>
      <w:r w:rsidR="00B5384B">
        <w:t xml:space="preserve">nel </w:t>
      </w:r>
      <w:r w:rsidR="001843B2">
        <w:t>rapporto</w:t>
      </w:r>
      <w:r w:rsidR="00B5384B">
        <w:t xml:space="preserve"> e relative all’imposta patrimoniale annuale, progressiva e individuale</w:t>
      </w:r>
      <w:r w:rsidR="00FD5971">
        <w:rPr>
          <w:rStyle w:val="Rimandonotaapidipagina"/>
        </w:rPr>
        <w:footnoteReference w:id="4"/>
      </w:r>
      <w:r w:rsidR="000F1BE9">
        <w:t>.</w:t>
      </w:r>
    </w:p>
    <w:p w14:paraId="532C8FF7" w14:textId="62F0B6FA" w:rsidR="0073688E" w:rsidRDefault="0073688E" w:rsidP="00A64F13">
      <w:pPr>
        <w:pStyle w:val="Paragrafoelenco"/>
      </w:pPr>
    </w:p>
    <w:p w14:paraId="47A8721C" w14:textId="2A1F4E99" w:rsidR="0073688E" w:rsidRDefault="0073688E" w:rsidP="00A64F13">
      <w:pPr>
        <w:pStyle w:val="Paragrafoelenco"/>
      </w:pPr>
    </w:p>
    <w:p w14:paraId="0E170320" w14:textId="23DF974D" w:rsidR="0073688E" w:rsidRDefault="0073688E" w:rsidP="00A64F13">
      <w:pPr>
        <w:pStyle w:val="Paragrafoelenco"/>
      </w:pPr>
    </w:p>
    <w:p w14:paraId="23F6B3D6" w14:textId="7FC701D6" w:rsidR="0073688E" w:rsidRDefault="0073688E" w:rsidP="0073688E">
      <w:pPr>
        <w:pStyle w:val="Paragrafoelenco"/>
        <w:numPr>
          <w:ilvl w:val="0"/>
          <w:numId w:val="1"/>
        </w:numPr>
        <w:rPr>
          <w:b/>
          <w:bCs/>
        </w:rPr>
      </w:pPr>
      <w:r w:rsidRPr="0073688E">
        <w:rPr>
          <w:b/>
          <w:bCs/>
        </w:rPr>
        <w:t>La via per la redistribuzione della ricchezza</w:t>
      </w:r>
      <w:r w:rsidR="00DD7310">
        <w:rPr>
          <w:rStyle w:val="Rimandonotaapidipagina"/>
          <w:b/>
          <w:bCs/>
        </w:rPr>
        <w:footnoteReference w:id="5"/>
      </w:r>
    </w:p>
    <w:p w14:paraId="5A4B4B55" w14:textId="77777777" w:rsidR="00FF2FE6" w:rsidRPr="0073688E" w:rsidRDefault="00FF2FE6" w:rsidP="00FF2FE6">
      <w:pPr>
        <w:pStyle w:val="Paragrafoelenco"/>
        <w:rPr>
          <w:b/>
          <w:bCs/>
        </w:rPr>
      </w:pPr>
    </w:p>
    <w:p w14:paraId="225175C2" w14:textId="77777777" w:rsidR="0073688E" w:rsidRDefault="0073688E" w:rsidP="0073688E">
      <w:pPr>
        <w:pStyle w:val="Paragrafoelenco"/>
      </w:pPr>
    </w:p>
    <w:p w14:paraId="41E61B2E" w14:textId="7A888D03" w:rsidR="0073688E" w:rsidRPr="00FF2FE6" w:rsidRDefault="0073688E" w:rsidP="0073688E">
      <w:pPr>
        <w:pStyle w:val="Paragrafoelenco"/>
        <w:numPr>
          <w:ilvl w:val="1"/>
          <w:numId w:val="1"/>
        </w:numPr>
        <w:rPr>
          <w:u w:val="single"/>
        </w:rPr>
      </w:pPr>
      <w:r w:rsidRPr="00FF2FE6">
        <w:rPr>
          <w:u w:val="single"/>
        </w:rPr>
        <w:t>Perché tassare la ricchezza?</w:t>
      </w:r>
    </w:p>
    <w:p w14:paraId="63969536" w14:textId="22E732D4" w:rsidR="00FD5971" w:rsidRDefault="00FD5971" w:rsidP="00FD5971">
      <w:pPr>
        <w:pStyle w:val="Paragrafoelenco"/>
        <w:ind w:left="1080"/>
      </w:pPr>
    </w:p>
    <w:p w14:paraId="1A95AC4F" w14:textId="053FD1A5" w:rsidR="00FD5971" w:rsidRDefault="00FD5971" w:rsidP="00FD5971">
      <w:pPr>
        <w:pStyle w:val="Paragrafoelenco"/>
        <w:ind w:left="1080"/>
      </w:pPr>
      <w:r>
        <w:t>Come abbiamo già ricordato i process</w:t>
      </w:r>
      <w:r w:rsidR="00FF2FE6">
        <w:t>i</w:t>
      </w:r>
      <w:r>
        <w:t xml:space="preserve"> di rapida crescita della ricchezza privata rispetto al reddito nazionale</w:t>
      </w:r>
      <w:r w:rsidR="00FF2FE6">
        <w:t xml:space="preserve"> e d</w:t>
      </w:r>
      <w:r w:rsidR="00DD7310">
        <w:t>ella</w:t>
      </w:r>
      <w:r w:rsidR="00FF2FE6">
        <w:t xml:space="preserve"> ancor più rapida </w:t>
      </w:r>
      <w:r w:rsidR="00DD7310">
        <w:t xml:space="preserve">sua </w:t>
      </w:r>
      <w:r w:rsidR="00FF2FE6">
        <w:t>concentrazione in una sempre più ristretta fascia di cittadini sono in corso da tempo</w:t>
      </w:r>
      <w:r w:rsidR="00646321">
        <w:t xml:space="preserve"> e</w:t>
      </w:r>
      <w:r w:rsidR="00FF2FE6">
        <w:t xml:space="preserve"> questo fatto ha generato un rinnovato interesse per una tassa</w:t>
      </w:r>
      <w:r w:rsidR="00DD7310">
        <w:t xml:space="preserve"> patrimoniale</w:t>
      </w:r>
      <w:r w:rsidR="00FF2FE6">
        <w:t xml:space="preserve"> progressiva, che già esiste – sotto varie forme – in diversi paesi avanzati (Olanda, Norvegia, Spagna, Svizzera)</w:t>
      </w:r>
      <w:r w:rsidR="00861536">
        <w:t>, ma che rimane una eccezione nel panorama mondiale.</w:t>
      </w:r>
    </w:p>
    <w:p w14:paraId="0E45DA3D" w14:textId="28D20B49" w:rsidR="00861536" w:rsidRDefault="00861536" w:rsidP="00FD5971">
      <w:pPr>
        <w:pStyle w:val="Paragrafoelenco"/>
        <w:ind w:left="1080"/>
      </w:pPr>
    </w:p>
    <w:p w14:paraId="1D07C10B" w14:textId="6BA34C20" w:rsidR="00861536" w:rsidRDefault="00861536" w:rsidP="00FD5971">
      <w:pPr>
        <w:pStyle w:val="Paragrafoelenco"/>
        <w:ind w:left="1080"/>
      </w:pPr>
      <w:r>
        <w:t>Forme di tassazione della proprietà esistono in molti paesi, Italia compresa, e si riferiscono alla proprietà di immobili e di terreni e normalmente sono ad aliquota unica, sono cioè tasse “piatte” proporzionali al valore della proprietà</w:t>
      </w:r>
      <w:r w:rsidR="00646321">
        <w:t xml:space="preserve"> e quindi intrinsecamente regressive – nel senso che pesano maggiormente sulle fasce più deboli della popolazione</w:t>
      </w:r>
      <w:r>
        <w:t xml:space="preserve">. Questo sistema di tassazione è tipico delle società </w:t>
      </w:r>
      <w:proofErr w:type="spellStart"/>
      <w:r>
        <w:t>pre</w:t>
      </w:r>
      <w:proofErr w:type="spellEnd"/>
      <w:r>
        <w:t>-moderne, nelle quali il grosso della ricchezza privata era costituito appunto da immobili e terreni</w:t>
      </w:r>
      <w:r w:rsidR="00CD1C9B">
        <w:t xml:space="preserve">. Oggi questo sistema stride a confronto sia della progressività dell’imposta sul reddito sia della diversa composizione della ricchezza privata, che, per i grandi patrimoni, è prevalentemente finanziaria. Per quanto a partire dagli anni 80 del XX secolo le aliquote massime applicate alla tassazione sul reddito si siano sensibilmente abbassate scendendo per i paesi ricchi </w:t>
      </w:r>
      <w:r w:rsidR="00646321">
        <w:t>(</w:t>
      </w:r>
      <w:r w:rsidR="00CD1C9B">
        <w:t>da circa il 70% al 30-50%</w:t>
      </w:r>
      <w:r w:rsidR="00646321">
        <w:t>)</w:t>
      </w:r>
      <w:r w:rsidR="00CD1C9B">
        <w:t xml:space="preserve">, il concetto di progressività della tassazione resta il principio che definisce il </w:t>
      </w:r>
      <w:r w:rsidR="00F43119">
        <w:t>sistema fiscale delle società moderne.</w:t>
      </w:r>
    </w:p>
    <w:p w14:paraId="72AC5072" w14:textId="57972A1C" w:rsidR="00306C42" w:rsidRDefault="00306C42" w:rsidP="00FD5971">
      <w:pPr>
        <w:pStyle w:val="Paragrafoelenco"/>
        <w:ind w:left="1080"/>
      </w:pPr>
    </w:p>
    <w:p w14:paraId="5D376862" w14:textId="5AD06094" w:rsidR="00306C42" w:rsidRPr="001D13DE" w:rsidRDefault="00306C42" w:rsidP="00FD5971">
      <w:pPr>
        <w:pStyle w:val="Paragrafoelenco"/>
        <w:ind w:left="1080"/>
        <w:rPr>
          <w:i/>
          <w:iCs/>
        </w:rPr>
      </w:pPr>
      <w:r w:rsidRPr="001D13DE">
        <w:rPr>
          <w:i/>
          <w:iCs/>
        </w:rPr>
        <w:t>Quindi l’aliquota unica per la tassa patrimoniale è in netto contrasto con i moderni sistemi di tassazione del reddito e del patrimonio. Per essere chiari: oggi non c’è in nessuna parte d</w:t>
      </w:r>
      <w:r w:rsidR="00291BBE" w:rsidRPr="001D13DE">
        <w:rPr>
          <w:i/>
          <w:iCs/>
        </w:rPr>
        <w:t>e</w:t>
      </w:r>
      <w:r w:rsidRPr="001D13DE">
        <w:rPr>
          <w:i/>
          <w:iCs/>
        </w:rPr>
        <w:t xml:space="preserve">l mondo </w:t>
      </w:r>
      <w:r w:rsidR="00291BBE" w:rsidRPr="001D13DE">
        <w:rPr>
          <w:i/>
          <w:iCs/>
        </w:rPr>
        <w:t xml:space="preserve">alcuna </w:t>
      </w:r>
      <w:r w:rsidRPr="001D13DE">
        <w:rPr>
          <w:i/>
          <w:iCs/>
        </w:rPr>
        <w:t>reale giustificazione economica</w:t>
      </w:r>
      <w:r w:rsidR="00291BBE" w:rsidRPr="001D13DE">
        <w:rPr>
          <w:i/>
          <w:iCs/>
        </w:rPr>
        <w:t xml:space="preserve"> per una tassa patrimoniale piatta. Quest</w:t>
      </w:r>
      <w:r w:rsidR="001D13DE">
        <w:rPr>
          <w:i/>
          <w:iCs/>
        </w:rPr>
        <w:t>a</w:t>
      </w:r>
      <w:r w:rsidR="00291BBE" w:rsidRPr="001D13DE">
        <w:rPr>
          <w:i/>
          <w:iCs/>
        </w:rPr>
        <w:t xml:space="preserve"> sarebbe la continuazione, in tempi moderni, di sistemi di tassazione arcaici che sarebbero stat</w:t>
      </w:r>
      <w:r w:rsidR="001D13DE">
        <w:rPr>
          <w:i/>
          <w:iCs/>
        </w:rPr>
        <w:t>i</w:t>
      </w:r>
      <w:r w:rsidR="00291BBE" w:rsidRPr="001D13DE">
        <w:rPr>
          <w:i/>
          <w:iCs/>
        </w:rPr>
        <w:t xml:space="preserve"> accettabili nelle società </w:t>
      </w:r>
      <w:proofErr w:type="spellStart"/>
      <w:r w:rsidR="00291BBE" w:rsidRPr="001D13DE">
        <w:rPr>
          <w:i/>
          <w:iCs/>
        </w:rPr>
        <w:t>pre</w:t>
      </w:r>
      <w:proofErr w:type="spellEnd"/>
      <w:r w:rsidR="00291BBE" w:rsidRPr="001D13DE">
        <w:rPr>
          <w:i/>
          <w:iCs/>
        </w:rPr>
        <w:t>-moderne, ma che sono incompatibili con l’odierna fondamentale concezione democratica della giustizia fiscale. Sotto molti aspetti l’odierna situazione della tassa patrimoniale è paragonabile con la situazione prevalente all’inizio del XX secolo prima dell’introduzione delle moderne imposte progressive sul reddito. Il sistema esistente di tassazione del patrimonio è arcaico e non più in relazione con la corrente realtà socio-economica, ma molti interessi economici e forze politiche ancora sostengono lo status quo.</w:t>
      </w:r>
      <w:r w:rsidR="00B5384B">
        <w:rPr>
          <w:rStyle w:val="Rimandonotaapidipagina"/>
          <w:i/>
          <w:iCs/>
        </w:rPr>
        <w:footnoteReference w:id="6"/>
      </w:r>
    </w:p>
    <w:p w14:paraId="28583BC7" w14:textId="77777777" w:rsidR="001D13DE" w:rsidRDefault="001D13DE" w:rsidP="00FD5971">
      <w:pPr>
        <w:pStyle w:val="Paragrafoelenco"/>
        <w:ind w:left="1080"/>
      </w:pPr>
    </w:p>
    <w:p w14:paraId="63CF6476" w14:textId="264DF1EA" w:rsidR="001D13DE" w:rsidRDefault="001D13DE" w:rsidP="00FD5971">
      <w:pPr>
        <w:pStyle w:val="Paragrafoelenco"/>
        <w:ind w:left="1080"/>
      </w:pPr>
    </w:p>
    <w:p w14:paraId="174658D4" w14:textId="6D439313" w:rsidR="001D13DE" w:rsidRPr="001D13DE" w:rsidRDefault="001D13DE" w:rsidP="001D13DE">
      <w:pPr>
        <w:pStyle w:val="Paragrafoelenco"/>
        <w:numPr>
          <w:ilvl w:val="1"/>
          <w:numId w:val="1"/>
        </w:numPr>
        <w:rPr>
          <w:u w:val="single"/>
        </w:rPr>
      </w:pPr>
      <w:r w:rsidRPr="001D13DE">
        <w:rPr>
          <w:u w:val="single"/>
        </w:rPr>
        <w:t>Modernizzare l’imposta patrimoniale personale</w:t>
      </w:r>
    </w:p>
    <w:p w14:paraId="25273C5D" w14:textId="546E3131" w:rsidR="001D13DE" w:rsidRDefault="001D13DE" w:rsidP="001D13DE">
      <w:pPr>
        <w:pStyle w:val="Paragrafoelenco"/>
        <w:ind w:left="1080"/>
      </w:pPr>
    </w:p>
    <w:p w14:paraId="22621738" w14:textId="11E47823" w:rsidR="001D13DE" w:rsidRDefault="001D13DE" w:rsidP="001D13DE">
      <w:pPr>
        <w:pStyle w:val="Paragrafoelenco"/>
        <w:ind w:left="1080"/>
      </w:pPr>
      <w:r>
        <w:t xml:space="preserve">Il modo migliore per modernizzare l’imposta sul patrimonio sarebbe quello di estendere la base imponibile a tutte le forme di ricchezza e non solo alla proprietà immobiliare o fondiaria e di </w:t>
      </w:r>
      <w:r>
        <w:lastRenderedPageBreak/>
        <w:t>sostituire l’aliquota unica con un sistema di aliquote progressivamente crescenti. Alcuni commentatori, contrari all’introduzione di un’imposta patrimoniale, sostengono appunto che la ricchezza non dovrebbe essere tassata per nulla</w:t>
      </w:r>
      <w:r w:rsidR="008607F6">
        <w:t>, ma dimenticano che in generale la proprietà della casa – che rappresenta la componente fondamentale della ricchezza della classe media – è già tassata sia pure in modo regressivo. Oggi il patrimonio dei più ricchi – multimilionari o miliardari – si compone principalmente di risorse finanziarie, mentre la proprietà immobiliare o terriera (diversamente da quanto accade per la classe media) è una componente del tutto minoritaria</w:t>
      </w:r>
      <w:r w:rsidR="002078D3">
        <w:t xml:space="preserve"> (v. Quaderno 2, pag. 15).</w:t>
      </w:r>
      <w:r w:rsidR="003C2909">
        <w:t xml:space="preserve"> Quindi la struttura dell’imposta attuale accentua la disuguaglianza.</w:t>
      </w:r>
    </w:p>
    <w:p w14:paraId="69AB5A39" w14:textId="6DB12860" w:rsidR="002078D3" w:rsidRDefault="002078D3" w:rsidP="001D13DE">
      <w:pPr>
        <w:pStyle w:val="Paragrafoelenco"/>
        <w:ind w:left="1080"/>
      </w:pPr>
    </w:p>
    <w:p w14:paraId="4066EBC1" w14:textId="163CDB4A" w:rsidR="002078D3" w:rsidRDefault="002078D3" w:rsidP="001D13DE">
      <w:pPr>
        <w:pStyle w:val="Paragrafoelenco"/>
        <w:ind w:left="1080"/>
      </w:pPr>
      <w:r>
        <w:t>L’introduzione di aliquote progressive basse consentirebbe, come vedremo più avanti, di raccogliere importanti risorse da destinare</w:t>
      </w:r>
      <w:r w:rsidR="00B35871">
        <w:t xml:space="preserve"> sia a miliardi di persone oggi completamente prive di capitale consentendo loro così di innescare un processo di generazione di ricchezza, sia di contenere la concentrazione della ricchezza in poche mani mitigandone l’impatto potenzialmente assai negativo socialmente e politicamente.</w:t>
      </w:r>
    </w:p>
    <w:p w14:paraId="37B5680C" w14:textId="456556BF" w:rsidR="00B35871" w:rsidRDefault="00B35871" w:rsidP="001D13DE">
      <w:pPr>
        <w:pStyle w:val="Paragrafoelenco"/>
        <w:ind w:left="1080"/>
      </w:pPr>
    </w:p>
    <w:p w14:paraId="5BBDB4AD" w14:textId="14A72939" w:rsidR="00B35871" w:rsidRDefault="00B35871" w:rsidP="001D13DE">
      <w:pPr>
        <w:pStyle w:val="Paragrafoelenco"/>
        <w:ind w:left="1080"/>
      </w:pPr>
      <w:r>
        <w:t xml:space="preserve">Quanto alla preoccupazione per i rischi che correrebbe il sistema economico attuale in caso di introduzione di un’imposta patrimoniale individuale progressiva, possiamo ritenere di avere oggi una comprensione piuttosto buona di ciò che funzionerebbe e di ciò che non funzionerebbe in un tale processo. In estrema sintesi possiamo sostenere che </w:t>
      </w:r>
      <w:r w:rsidR="007D0200">
        <w:t xml:space="preserve">considerata </w:t>
      </w:r>
      <w:r>
        <w:t xml:space="preserve">l’enorme concentrazione della ricchezza privata e l’altrettanto considerevole velocità con cui il processo di concentrazione </w:t>
      </w:r>
      <w:r w:rsidR="007D0200">
        <w:t>sta sviluppandosi sarebbe del tutto irragionevole non chiedere ai più ricchi un contributo maggiore date le sfide sociali, ambientali e di sviluppo complessivo che ci troviamo ad affrontare.</w:t>
      </w:r>
    </w:p>
    <w:p w14:paraId="6BE52474" w14:textId="50B4718C" w:rsidR="007D0200" w:rsidRDefault="007D0200" w:rsidP="001D13DE">
      <w:pPr>
        <w:pStyle w:val="Paragrafoelenco"/>
        <w:ind w:left="1080"/>
      </w:pPr>
    </w:p>
    <w:p w14:paraId="3574E7FE" w14:textId="60F4D6D6" w:rsidR="007D0200" w:rsidRDefault="007D0200" w:rsidP="001D13DE">
      <w:pPr>
        <w:pStyle w:val="Paragrafoelenco"/>
        <w:ind w:left="1080"/>
      </w:pPr>
    </w:p>
    <w:p w14:paraId="2BE2A83C" w14:textId="720105CA" w:rsidR="007D0200" w:rsidRPr="00F25411" w:rsidRDefault="007D0200" w:rsidP="007D0200">
      <w:pPr>
        <w:pStyle w:val="Paragrafoelenco"/>
        <w:numPr>
          <w:ilvl w:val="1"/>
          <w:numId w:val="1"/>
        </w:numPr>
        <w:rPr>
          <w:u w:val="single"/>
        </w:rPr>
      </w:pPr>
      <w:r w:rsidRPr="00F25411">
        <w:rPr>
          <w:u w:val="single"/>
        </w:rPr>
        <w:t>Stime per un’imposta patrimoniale globale</w:t>
      </w:r>
      <w:r w:rsidR="007B739A">
        <w:rPr>
          <w:u w:val="single"/>
        </w:rPr>
        <w:t>, personale</w:t>
      </w:r>
      <w:r w:rsidRPr="00F25411">
        <w:rPr>
          <w:u w:val="single"/>
        </w:rPr>
        <w:t xml:space="preserve"> e progressiva</w:t>
      </w:r>
    </w:p>
    <w:p w14:paraId="6588B764" w14:textId="1D9199C0" w:rsidR="007D0200" w:rsidRDefault="007D0200" w:rsidP="007D0200">
      <w:pPr>
        <w:pStyle w:val="Paragrafoelenco"/>
        <w:ind w:left="1080"/>
      </w:pPr>
    </w:p>
    <w:p w14:paraId="75C424B4" w14:textId="77281DF6" w:rsidR="007D0200" w:rsidRDefault="003C2909" w:rsidP="007D0200">
      <w:pPr>
        <w:pStyle w:val="Paragrafoelenco"/>
        <w:ind w:left="1080"/>
      </w:pPr>
      <w:r>
        <w:t xml:space="preserve">Ci concentriamo </w:t>
      </w:r>
      <w:r w:rsidR="00F25411">
        <w:t>ora sulle stime del gettito di una imposta patrimoniale globale, personale e progressiva che si applichi ai milionari e miliardari. Questa precisazione è decisiva per delimitare con chiarezza a quali strati della popolazione ci si intende rivolgere, cercando così di contrastare il timore dell’effetto “vaso di Pandora”, cioè della preoccupazione – propria della classe media – che si parta dai più ricchi per poi estendere l’imposta patrimoniale anche ai patrimoni meno consistenti.</w:t>
      </w:r>
    </w:p>
    <w:p w14:paraId="384DC33B" w14:textId="1A477698" w:rsidR="00F25411" w:rsidRDefault="00F25411" w:rsidP="007D0200">
      <w:pPr>
        <w:pStyle w:val="Paragrafoelenco"/>
        <w:ind w:left="1080"/>
      </w:pPr>
    </w:p>
    <w:p w14:paraId="429D559F" w14:textId="4CC0C44F" w:rsidR="00F25411" w:rsidRDefault="00F25411" w:rsidP="007D0200">
      <w:pPr>
        <w:pStyle w:val="Paragrafoelenco"/>
        <w:ind w:left="1080"/>
      </w:pPr>
      <w:r>
        <w:t>Sono presi in considerazione tre scenari diversi con aliquote, rispettivamente, basse, significative e molto alte</w:t>
      </w:r>
      <w:r w:rsidR="005260BD">
        <w:t>, le aliquote si riferiscono alla parte di patrimonio compres</w:t>
      </w:r>
      <w:r w:rsidR="008E075B">
        <w:t>a</w:t>
      </w:r>
      <w:r w:rsidR="005260BD">
        <w:t xml:space="preserve"> nell’intervallo di ricchezza indicato</w:t>
      </w:r>
      <w:r>
        <w:t>:</w:t>
      </w:r>
    </w:p>
    <w:p w14:paraId="4473DF7D" w14:textId="2C51884A" w:rsidR="00F25411" w:rsidRDefault="00F25411" w:rsidP="007D0200">
      <w:pPr>
        <w:pStyle w:val="Paragrafoelenco"/>
        <w:ind w:left="1080"/>
      </w:pPr>
    </w:p>
    <w:tbl>
      <w:tblPr>
        <w:tblW w:w="6140" w:type="dxa"/>
        <w:tblInd w:w="1346" w:type="dxa"/>
        <w:tblCellMar>
          <w:left w:w="70" w:type="dxa"/>
          <w:right w:w="70" w:type="dxa"/>
        </w:tblCellMar>
        <w:tblLook w:val="04A0" w:firstRow="1" w:lastRow="0" w:firstColumn="1" w:lastColumn="0" w:noHBand="0" w:noVBand="1"/>
      </w:tblPr>
      <w:tblGrid>
        <w:gridCol w:w="1340"/>
        <w:gridCol w:w="1600"/>
        <w:gridCol w:w="1600"/>
        <w:gridCol w:w="1600"/>
      </w:tblGrid>
      <w:tr w:rsidR="007B739A" w:rsidRPr="007B739A" w14:paraId="560DCCBB" w14:textId="77777777" w:rsidTr="007B739A">
        <w:trPr>
          <w:trHeight w:val="300"/>
        </w:trPr>
        <w:tc>
          <w:tcPr>
            <w:tcW w:w="1340" w:type="dxa"/>
            <w:tcBorders>
              <w:top w:val="nil"/>
              <w:left w:val="nil"/>
              <w:bottom w:val="nil"/>
              <w:right w:val="nil"/>
            </w:tcBorders>
            <w:shd w:val="clear" w:color="auto" w:fill="auto"/>
            <w:noWrap/>
            <w:vAlign w:val="bottom"/>
            <w:hideMark/>
          </w:tcPr>
          <w:p w14:paraId="310594EB" w14:textId="77777777" w:rsidR="007B739A" w:rsidRPr="007B739A" w:rsidRDefault="007B739A" w:rsidP="007B739A">
            <w:pPr>
              <w:spacing w:after="0" w:line="240" w:lineRule="auto"/>
              <w:jc w:val="center"/>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 xml:space="preserve">intervallo </w:t>
            </w:r>
          </w:p>
        </w:tc>
        <w:tc>
          <w:tcPr>
            <w:tcW w:w="1600" w:type="dxa"/>
            <w:tcBorders>
              <w:top w:val="nil"/>
              <w:left w:val="nil"/>
              <w:bottom w:val="nil"/>
              <w:right w:val="nil"/>
            </w:tcBorders>
            <w:shd w:val="clear" w:color="auto" w:fill="auto"/>
            <w:noWrap/>
            <w:vAlign w:val="bottom"/>
            <w:hideMark/>
          </w:tcPr>
          <w:p w14:paraId="3E2ED1EA" w14:textId="77777777" w:rsidR="007B739A" w:rsidRPr="007B739A" w:rsidRDefault="007B739A" w:rsidP="007B739A">
            <w:pPr>
              <w:spacing w:after="0" w:line="240" w:lineRule="auto"/>
              <w:jc w:val="center"/>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scenario 1</w:t>
            </w:r>
          </w:p>
        </w:tc>
        <w:tc>
          <w:tcPr>
            <w:tcW w:w="1600" w:type="dxa"/>
            <w:tcBorders>
              <w:top w:val="nil"/>
              <w:left w:val="nil"/>
              <w:bottom w:val="nil"/>
              <w:right w:val="nil"/>
            </w:tcBorders>
            <w:shd w:val="clear" w:color="auto" w:fill="auto"/>
            <w:noWrap/>
            <w:vAlign w:val="bottom"/>
            <w:hideMark/>
          </w:tcPr>
          <w:p w14:paraId="2537CFFB" w14:textId="77777777" w:rsidR="007B739A" w:rsidRPr="007B739A" w:rsidRDefault="007B739A" w:rsidP="007B739A">
            <w:pPr>
              <w:spacing w:after="0" w:line="240" w:lineRule="auto"/>
              <w:jc w:val="center"/>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scenario 2</w:t>
            </w:r>
          </w:p>
        </w:tc>
        <w:tc>
          <w:tcPr>
            <w:tcW w:w="1600" w:type="dxa"/>
            <w:tcBorders>
              <w:top w:val="nil"/>
              <w:left w:val="nil"/>
              <w:bottom w:val="nil"/>
              <w:right w:val="nil"/>
            </w:tcBorders>
            <w:shd w:val="clear" w:color="auto" w:fill="auto"/>
            <w:noWrap/>
            <w:vAlign w:val="bottom"/>
            <w:hideMark/>
          </w:tcPr>
          <w:p w14:paraId="69329F15" w14:textId="77777777" w:rsidR="007B739A" w:rsidRPr="007B739A" w:rsidRDefault="007B739A" w:rsidP="007B739A">
            <w:pPr>
              <w:spacing w:after="0" w:line="240" w:lineRule="auto"/>
              <w:jc w:val="center"/>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scenario 3</w:t>
            </w:r>
          </w:p>
        </w:tc>
      </w:tr>
      <w:tr w:rsidR="007B739A" w:rsidRPr="007B739A" w14:paraId="0733035D" w14:textId="77777777" w:rsidTr="007B739A">
        <w:trPr>
          <w:trHeight w:val="300"/>
        </w:trPr>
        <w:tc>
          <w:tcPr>
            <w:tcW w:w="1340" w:type="dxa"/>
            <w:tcBorders>
              <w:top w:val="nil"/>
              <w:left w:val="nil"/>
              <w:bottom w:val="nil"/>
              <w:right w:val="nil"/>
            </w:tcBorders>
            <w:shd w:val="clear" w:color="auto" w:fill="auto"/>
            <w:noWrap/>
            <w:vAlign w:val="bottom"/>
            <w:hideMark/>
          </w:tcPr>
          <w:p w14:paraId="6A74158C" w14:textId="77777777" w:rsidR="007B739A" w:rsidRPr="007B739A" w:rsidRDefault="007B739A" w:rsidP="007B739A">
            <w:pPr>
              <w:spacing w:after="0" w:line="240" w:lineRule="auto"/>
              <w:jc w:val="center"/>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di ricchezza</w:t>
            </w:r>
          </w:p>
        </w:tc>
        <w:tc>
          <w:tcPr>
            <w:tcW w:w="1600" w:type="dxa"/>
            <w:tcBorders>
              <w:top w:val="nil"/>
              <w:left w:val="nil"/>
              <w:bottom w:val="nil"/>
              <w:right w:val="nil"/>
            </w:tcBorders>
            <w:shd w:val="clear" w:color="auto" w:fill="auto"/>
            <w:noWrap/>
            <w:vAlign w:val="bottom"/>
            <w:hideMark/>
          </w:tcPr>
          <w:p w14:paraId="026B801E" w14:textId="77777777" w:rsidR="007B739A" w:rsidRPr="007B739A" w:rsidRDefault="007B739A" w:rsidP="007B739A">
            <w:pPr>
              <w:spacing w:after="0" w:line="240" w:lineRule="auto"/>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aliquota marginale (%)</w:t>
            </w:r>
          </w:p>
        </w:tc>
        <w:tc>
          <w:tcPr>
            <w:tcW w:w="1600" w:type="dxa"/>
            <w:tcBorders>
              <w:top w:val="nil"/>
              <w:left w:val="nil"/>
              <w:bottom w:val="nil"/>
              <w:right w:val="nil"/>
            </w:tcBorders>
            <w:shd w:val="clear" w:color="auto" w:fill="auto"/>
            <w:noWrap/>
            <w:vAlign w:val="bottom"/>
            <w:hideMark/>
          </w:tcPr>
          <w:p w14:paraId="711EB3B8" w14:textId="77777777" w:rsidR="007B739A" w:rsidRPr="007B739A" w:rsidRDefault="007B739A" w:rsidP="007B739A">
            <w:pPr>
              <w:spacing w:after="0" w:line="240" w:lineRule="auto"/>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aliquota marginale (%)</w:t>
            </w:r>
          </w:p>
        </w:tc>
        <w:tc>
          <w:tcPr>
            <w:tcW w:w="1600" w:type="dxa"/>
            <w:tcBorders>
              <w:top w:val="nil"/>
              <w:left w:val="nil"/>
              <w:bottom w:val="nil"/>
              <w:right w:val="nil"/>
            </w:tcBorders>
            <w:shd w:val="clear" w:color="auto" w:fill="auto"/>
            <w:noWrap/>
            <w:vAlign w:val="bottom"/>
            <w:hideMark/>
          </w:tcPr>
          <w:p w14:paraId="41E19C39" w14:textId="77777777" w:rsidR="007B739A" w:rsidRPr="007B739A" w:rsidRDefault="007B739A" w:rsidP="007B739A">
            <w:pPr>
              <w:spacing w:after="0" w:line="240" w:lineRule="auto"/>
              <w:rPr>
                <w:rFonts w:ascii="Calibri" w:eastAsia="Times New Roman" w:hAnsi="Calibri" w:cs="Calibri"/>
                <w:b/>
                <w:bCs/>
                <w:color w:val="000000"/>
                <w:sz w:val="16"/>
                <w:szCs w:val="16"/>
                <w:lang w:eastAsia="it-IT"/>
              </w:rPr>
            </w:pPr>
            <w:r w:rsidRPr="007B739A">
              <w:rPr>
                <w:rFonts w:ascii="Calibri" w:eastAsia="Times New Roman" w:hAnsi="Calibri" w:cs="Calibri"/>
                <w:b/>
                <w:bCs/>
                <w:color w:val="000000"/>
                <w:sz w:val="16"/>
                <w:szCs w:val="16"/>
                <w:lang w:eastAsia="it-IT"/>
              </w:rPr>
              <w:t>aliquota marginale (%)</w:t>
            </w:r>
          </w:p>
        </w:tc>
      </w:tr>
      <w:tr w:rsidR="007B739A" w:rsidRPr="007B739A" w14:paraId="0CA31715" w14:textId="77777777" w:rsidTr="007B739A">
        <w:trPr>
          <w:trHeight w:val="300"/>
        </w:trPr>
        <w:tc>
          <w:tcPr>
            <w:tcW w:w="1340" w:type="dxa"/>
            <w:tcBorders>
              <w:top w:val="nil"/>
              <w:left w:val="nil"/>
              <w:bottom w:val="nil"/>
              <w:right w:val="nil"/>
            </w:tcBorders>
            <w:shd w:val="clear" w:color="auto" w:fill="auto"/>
            <w:noWrap/>
            <w:vAlign w:val="bottom"/>
            <w:hideMark/>
          </w:tcPr>
          <w:p w14:paraId="4B14B34B" w14:textId="77777777" w:rsidR="007B739A" w:rsidRPr="007B739A" w:rsidRDefault="007B739A" w:rsidP="007B739A">
            <w:pPr>
              <w:spacing w:after="0" w:line="240" w:lineRule="auto"/>
              <w:rPr>
                <w:rFonts w:ascii="Calibri" w:eastAsia="Times New Roman" w:hAnsi="Calibri" w:cs="Calibri"/>
                <w:b/>
                <w:bCs/>
                <w:color w:val="000000"/>
                <w:sz w:val="16"/>
                <w:szCs w:val="16"/>
                <w:lang w:eastAsia="it-IT"/>
              </w:rPr>
            </w:pPr>
          </w:p>
        </w:tc>
        <w:tc>
          <w:tcPr>
            <w:tcW w:w="1600" w:type="dxa"/>
            <w:tcBorders>
              <w:top w:val="nil"/>
              <w:left w:val="nil"/>
              <w:bottom w:val="nil"/>
              <w:right w:val="nil"/>
            </w:tcBorders>
            <w:shd w:val="clear" w:color="auto" w:fill="auto"/>
            <w:noWrap/>
            <w:vAlign w:val="bottom"/>
            <w:hideMark/>
          </w:tcPr>
          <w:p w14:paraId="742F1A09" w14:textId="77777777" w:rsidR="007B739A" w:rsidRPr="007B739A" w:rsidRDefault="007B739A" w:rsidP="007B739A">
            <w:pPr>
              <w:spacing w:after="0" w:line="240" w:lineRule="auto"/>
              <w:rPr>
                <w:rFonts w:ascii="Times New Roman" w:eastAsia="Times New Roman" w:hAnsi="Times New Roman" w:cs="Times New Roman"/>
                <w:sz w:val="20"/>
                <w:szCs w:val="20"/>
                <w:lang w:eastAsia="it-IT"/>
              </w:rPr>
            </w:pPr>
          </w:p>
        </w:tc>
        <w:tc>
          <w:tcPr>
            <w:tcW w:w="1600" w:type="dxa"/>
            <w:tcBorders>
              <w:top w:val="nil"/>
              <w:left w:val="nil"/>
              <w:bottom w:val="nil"/>
              <w:right w:val="nil"/>
            </w:tcBorders>
            <w:shd w:val="clear" w:color="auto" w:fill="auto"/>
            <w:noWrap/>
            <w:vAlign w:val="bottom"/>
            <w:hideMark/>
          </w:tcPr>
          <w:p w14:paraId="4E06CAA6" w14:textId="77777777" w:rsidR="007B739A" w:rsidRPr="007B739A" w:rsidRDefault="007B739A" w:rsidP="007B739A">
            <w:pPr>
              <w:spacing w:after="0" w:line="240" w:lineRule="auto"/>
              <w:rPr>
                <w:rFonts w:ascii="Times New Roman" w:eastAsia="Times New Roman" w:hAnsi="Times New Roman" w:cs="Times New Roman"/>
                <w:sz w:val="20"/>
                <w:szCs w:val="20"/>
                <w:lang w:eastAsia="it-IT"/>
              </w:rPr>
            </w:pPr>
          </w:p>
        </w:tc>
        <w:tc>
          <w:tcPr>
            <w:tcW w:w="1600" w:type="dxa"/>
            <w:tcBorders>
              <w:top w:val="nil"/>
              <w:left w:val="nil"/>
              <w:bottom w:val="nil"/>
              <w:right w:val="nil"/>
            </w:tcBorders>
            <w:shd w:val="clear" w:color="auto" w:fill="auto"/>
            <w:noWrap/>
            <w:vAlign w:val="bottom"/>
            <w:hideMark/>
          </w:tcPr>
          <w:p w14:paraId="7599140C" w14:textId="77777777" w:rsidR="007B739A" w:rsidRPr="007B739A" w:rsidRDefault="007B739A" w:rsidP="007B739A">
            <w:pPr>
              <w:spacing w:after="0" w:line="240" w:lineRule="auto"/>
              <w:rPr>
                <w:rFonts w:ascii="Times New Roman" w:eastAsia="Times New Roman" w:hAnsi="Times New Roman" w:cs="Times New Roman"/>
                <w:sz w:val="20"/>
                <w:szCs w:val="20"/>
                <w:lang w:eastAsia="it-IT"/>
              </w:rPr>
            </w:pPr>
          </w:p>
        </w:tc>
      </w:tr>
      <w:tr w:rsidR="007B739A" w:rsidRPr="007B739A" w14:paraId="4A5E75EA" w14:textId="77777777" w:rsidTr="007B739A">
        <w:trPr>
          <w:trHeight w:val="300"/>
        </w:trPr>
        <w:tc>
          <w:tcPr>
            <w:tcW w:w="1340" w:type="dxa"/>
            <w:tcBorders>
              <w:top w:val="nil"/>
              <w:left w:val="nil"/>
              <w:bottom w:val="nil"/>
              <w:right w:val="nil"/>
            </w:tcBorders>
            <w:shd w:val="clear" w:color="auto" w:fill="auto"/>
            <w:noWrap/>
            <w:vAlign w:val="bottom"/>
            <w:hideMark/>
          </w:tcPr>
          <w:p w14:paraId="67B94AE1" w14:textId="77777777" w:rsidR="007B739A" w:rsidRPr="007B739A" w:rsidRDefault="007B739A" w:rsidP="007B739A">
            <w:pPr>
              <w:spacing w:after="0" w:line="240" w:lineRule="auto"/>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 mln - 10 mln</w:t>
            </w:r>
          </w:p>
        </w:tc>
        <w:tc>
          <w:tcPr>
            <w:tcW w:w="1600" w:type="dxa"/>
            <w:tcBorders>
              <w:top w:val="nil"/>
              <w:left w:val="nil"/>
              <w:bottom w:val="nil"/>
              <w:right w:val="nil"/>
            </w:tcBorders>
            <w:shd w:val="clear" w:color="auto" w:fill="auto"/>
            <w:noWrap/>
            <w:vAlign w:val="bottom"/>
            <w:hideMark/>
          </w:tcPr>
          <w:p w14:paraId="4A7A9A2A"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1,0</w:t>
            </w:r>
          </w:p>
        </w:tc>
        <w:tc>
          <w:tcPr>
            <w:tcW w:w="1600" w:type="dxa"/>
            <w:tcBorders>
              <w:top w:val="nil"/>
              <w:left w:val="nil"/>
              <w:bottom w:val="nil"/>
              <w:right w:val="nil"/>
            </w:tcBorders>
            <w:shd w:val="clear" w:color="auto" w:fill="auto"/>
            <w:noWrap/>
            <w:vAlign w:val="bottom"/>
            <w:hideMark/>
          </w:tcPr>
          <w:p w14:paraId="5C7923D5"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1,0</w:t>
            </w:r>
          </w:p>
        </w:tc>
        <w:tc>
          <w:tcPr>
            <w:tcW w:w="1600" w:type="dxa"/>
            <w:tcBorders>
              <w:top w:val="nil"/>
              <w:left w:val="nil"/>
              <w:bottom w:val="nil"/>
              <w:right w:val="nil"/>
            </w:tcBorders>
            <w:shd w:val="clear" w:color="auto" w:fill="auto"/>
            <w:noWrap/>
            <w:vAlign w:val="bottom"/>
            <w:hideMark/>
          </w:tcPr>
          <w:p w14:paraId="2E6095C5"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1,0</w:t>
            </w:r>
          </w:p>
        </w:tc>
      </w:tr>
      <w:tr w:rsidR="007B739A" w:rsidRPr="007B739A" w14:paraId="33E89E63" w14:textId="77777777" w:rsidTr="007B739A">
        <w:trPr>
          <w:trHeight w:val="300"/>
        </w:trPr>
        <w:tc>
          <w:tcPr>
            <w:tcW w:w="1340" w:type="dxa"/>
            <w:tcBorders>
              <w:top w:val="nil"/>
              <w:left w:val="nil"/>
              <w:bottom w:val="nil"/>
              <w:right w:val="nil"/>
            </w:tcBorders>
            <w:shd w:val="clear" w:color="auto" w:fill="auto"/>
            <w:noWrap/>
            <w:vAlign w:val="bottom"/>
            <w:hideMark/>
          </w:tcPr>
          <w:p w14:paraId="24DE7990" w14:textId="77777777" w:rsidR="007B739A" w:rsidRPr="007B739A" w:rsidRDefault="007B739A" w:rsidP="007B739A">
            <w:pPr>
              <w:spacing w:after="0" w:line="240" w:lineRule="auto"/>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10 mln - 100 mln</w:t>
            </w:r>
          </w:p>
        </w:tc>
        <w:tc>
          <w:tcPr>
            <w:tcW w:w="1600" w:type="dxa"/>
            <w:tcBorders>
              <w:top w:val="nil"/>
              <w:left w:val="nil"/>
              <w:bottom w:val="nil"/>
              <w:right w:val="nil"/>
            </w:tcBorders>
            <w:shd w:val="clear" w:color="auto" w:fill="auto"/>
            <w:noWrap/>
            <w:vAlign w:val="bottom"/>
            <w:hideMark/>
          </w:tcPr>
          <w:p w14:paraId="05EA3DD7"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1,5</w:t>
            </w:r>
          </w:p>
        </w:tc>
        <w:tc>
          <w:tcPr>
            <w:tcW w:w="1600" w:type="dxa"/>
            <w:tcBorders>
              <w:top w:val="nil"/>
              <w:left w:val="nil"/>
              <w:bottom w:val="nil"/>
              <w:right w:val="nil"/>
            </w:tcBorders>
            <w:shd w:val="clear" w:color="auto" w:fill="auto"/>
            <w:noWrap/>
            <w:vAlign w:val="bottom"/>
            <w:hideMark/>
          </w:tcPr>
          <w:p w14:paraId="0653213F"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1,5</w:t>
            </w:r>
          </w:p>
        </w:tc>
        <w:tc>
          <w:tcPr>
            <w:tcW w:w="1600" w:type="dxa"/>
            <w:tcBorders>
              <w:top w:val="nil"/>
              <w:left w:val="nil"/>
              <w:bottom w:val="nil"/>
              <w:right w:val="nil"/>
            </w:tcBorders>
            <w:shd w:val="clear" w:color="auto" w:fill="auto"/>
            <w:noWrap/>
            <w:vAlign w:val="bottom"/>
            <w:hideMark/>
          </w:tcPr>
          <w:p w14:paraId="3E2F33F2"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1,5</w:t>
            </w:r>
          </w:p>
        </w:tc>
      </w:tr>
      <w:tr w:rsidR="007B739A" w:rsidRPr="007B739A" w14:paraId="36F6E081" w14:textId="77777777" w:rsidTr="007B739A">
        <w:trPr>
          <w:trHeight w:val="300"/>
        </w:trPr>
        <w:tc>
          <w:tcPr>
            <w:tcW w:w="1340" w:type="dxa"/>
            <w:tcBorders>
              <w:top w:val="nil"/>
              <w:left w:val="nil"/>
              <w:bottom w:val="nil"/>
              <w:right w:val="nil"/>
            </w:tcBorders>
            <w:shd w:val="clear" w:color="auto" w:fill="auto"/>
            <w:noWrap/>
            <w:vAlign w:val="bottom"/>
            <w:hideMark/>
          </w:tcPr>
          <w:p w14:paraId="7E10FCC6" w14:textId="77777777" w:rsidR="007B739A" w:rsidRPr="007B739A" w:rsidRDefault="007B739A" w:rsidP="007B739A">
            <w:pPr>
              <w:spacing w:after="0" w:line="240" w:lineRule="auto"/>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100 mln - 1 mld</w:t>
            </w:r>
          </w:p>
        </w:tc>
        <w:tc>
          <w:tcPr>
            <w:tcW w:w="1600" w:type="dxa"/>
            <w:tcBorders>
              <w:top w:val="nil"/>
              <w:left w:val="nil"/>
              <w:bottom w:val="nil"/>
              <w:right w:val="nil"/>
            </w:tcBorders>
            <w:shd w:val="clear" w:color="auto" w:fill="auto"/>
            <w:noWrap/>
            <w:vAlign w:val="bottom"/>
            <w:hideMark/>
          </w:tcPr>
          <w:p w14:paraId="6CBE3CB3"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2,0</w:t>
            </w:r>
          </w:p>
        </w:tc>
        <w:tc>
          <w:tcPr>
            <w:tcW w:w="1600" w:type="dxa"/>
            <w:tcBorders>
              <w:top w:val="nil"/>
              <w:left w:val="nil"/>
              <w:bottom w:val="nil"/>
              <w:right w:val="nil"/>
            </w:tcBorders>
            <w:shd w:val="clear" w:color="auto" w:fill="auto"/>
            <w:noWrap/>
            <w:vAlign w:val="bottom"/>
            <w:hideMark/>
          </w:tcPr>
          <w:p w14:paraId="592B9A22"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3,0</w:t>
            </w:r>
          </w:p>
        </w:tc>
        <w:tc>
          <w:tcPr>
            <w:tcW w:w="1600" w:type="dxa"/>
            <w:tcBorders>
              <w:top w:val="nil"/>
              <w:left w:val="nil"/>
              <w:bottom w:val="nil"/>
              <w:right w:val="nil"/>
            </w:tcBorders>
            <w:shd w:val="clear" w:color="auto" w:fill="auto"/>
            <w:noWrap/>
            <w:vAlign w:val="bottom"/>
            <w:hideMark/>
          </w:tcPr>
          <w:p w14:paraId="78C4F4F9"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7,0</w:t>
            </w:r>
          </w:p>
        </w:tc>
      </w:tr>
      <w:tr w:rsidR="007B739A" w:rsidRPr="007B739A" w14:paraId="4953F25E" w14:textId="77777777" w:rsidTr="007B739A">
        <w:trPr>
          <w:trHeight w:val="300"/>
        </w:trPr>
        <w:tc>
          <w:tcPr>
            <w:tcW w:w="1340" w:type="dxa"/>
            <w:tcBorders>
              <w:top w:val="nil"/>
              <w:left w:val="nil"/>
              <w:bottom w:val="nil"/>
              <w:right w:val="nil"/>
            </w:tcBorders>
            <w:shd w:val="clear" w:color="auto" w:fill="auto"/>
            <w:noWrap/>
            <w:vAlign w:val="bottom"/>
            <w:hideMark/>
          </w:tcPr>
          <w:p w14:paraId="380F8C01" w14:textId="77777777" w:rsidR="007B739A" w:rsidRPr="007B739A" w:rsidRDefault="007B739A" w:rsidP="007B739A">
            <w:pPr>
              <w:spacing w:after="0" w:line="240" w:lineRule="auto"/>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 mld - 10 mld</w:t>
            </w:r>
          </w:p>
        </w:tc>
        <w:tc>
          <w:tcPr>
            <w:tcW w:w="1600" w:type="dxa"/>
            <w:tcBorders>
              <w:top w:val="nil"/>
              <w:left w:val="nil"/>
              <w:bottom w:val="nil"/>
              <w:right w:val="nil"/>
            </w:tcBorders>
            <w:shd w:val="clear" w:color="auto" w:fill="auto"/>
            <w:noWrap/>
            <w:vAlign w:val="bottom"/>
            <w:hideMark/>
          </w:tcPr>
          <w:p w14:paraId="477AE5B8"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2,5</w:t>
            </w:r>
          </w:p>
        </w:tc>
        <w:tc>
          <w:tcPr>
            <w:tcW w:w="1600" w:type="dxa"/>
            <w:tcBorders>
              <w:top w:val="nil"/>
              <w:left w:val="nil"/>
              <w:bottom w:val="nil"/>
              <w:right w:val="nil"/>
            </w:tcBorders>
            <w:shd w:val="clear" w:color="auto" w:fill="auto"/>
            <w:noWrap/>
            <w:vAlign w:val="bottom"/>
            <w:hideMark/>
          </w:tcPr>
          <w:p w14:paraId="50CB9823"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5,0</w:t>
            </w:r>
          </w:p>
        </w:tc>
        <w:tc>
          <w:tcPr>
            <w:tcW w:w="1600" w:type="dxa"/>
            <w:tcBorders>
              <w:top w:val="nil"/>
              <w:left w:val="nil"/>
              <w:bottom w:val="nil"/>
              <w:right w:val="nil"/>
            </w:tcBorders>
            <w:shd w:val="clear" w:color="auto" w:fill="auto"/>
            <w:noWrap/>
            <w:vAlign w:val="bottom"/>
            <w:hideMark/>
          </w:tcPr>
          <w:p w14:paraId="2D985DD1"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15,0</w:t>
            </w:r>
          </w:p>
        </w:tc>
      </w:tr>
      <w:tr w:rsidR="007B739A" w:rsidRPr="007B739A" w14:paraId="7C452173" w14:textId="77777777" w:rsidTr="007B739A">
        <w:trPr>
          <w:trHeight w:val="300"/>
        </w:trPr>
        <w:tc>
          <w:tcPr>
            <w:tcW w:w="1340" w:type="dxa"/>
            <w:tcBorders>
              <w:top w:val="nil"/>
              <w:left w:val="nil"/>
              <w:bottom w:val="nil"/>
              <w:right w:val="nil"/>
            </w:tcBorders>
            <w:shd w:val="clear" w:color="auto" w:fill="auto"/>
            <w:noWrap/>
            <w:vAlign w:val="bottom"/>
            <w:hideMark/>
          </w:tcPr>
          <w:p w14:paraId="3485D904" w14:textId="77777777" w:rsidR="007B739A" w:rsidRPr="007B739A" w:rsidRDefault="007B739A" w:rsidP="007B739A">
            <w:pPr>
              <w:spacing w:after="0" w:line="240" w:lineRule="auto"/>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10 mld - 100 mld</w:t>
            </w:r>
          </w:p>
        </w:tc>
        <w:tc>
          <w:tcPr>
            <w:tcW w:w="1600" w:type="dxa"/>
            <w:tcBorders>
              <w:top w:val="nil"/>
              <w:left w:val="nil"/>
              <w:bottom w:val="nil"/>
              <w:right w:val="nil"/>
            </w:tcBorders>
            <w:shd w:val="clear" w:color="auto" w:fill="auto"/>
            <w:noWrap/>
            <w:vAlign w:val="bottom"/>
            <w:hideMark/>
          </w:tcPr>
          <w:p w14:paraId="0DE33244"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3,0</w:t>
            </w:r>
          </w:p>
        </w:tc>
        <w:tc>
          <w:tcPr>
            <w:tcW w:w="1600" w:type="dxa"/>
            <w:tcBorders>
              <w:top w:val="nil"/>
              <w:left w:val="nil"/>
              <w:bottom w:val="nil"/>
              <w:right w:val="nil"/>
            </w:tcBorders>
            <w:shd w:val="clear" w:color="auto" w:fill="auto"/>
            <w:noWrap/>
            <w:vAlign w:val="bottom"/>
            <w:hideMark/>
          </w:tcPr>
          <w:p w14:paraId="600C1CF0"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7,0</w:t>
            </w:r>
          </w:p>
        </w:tc>
        <w:tc>
          <w:tcPr>
            <w:tcW w:w="1600" w:type="dxa"/>
            <w:tcBorders>
              <w:top w:val="nil"/>
              <w:left w:val="nil"/>
              <w:bottom w:val="nil"/>
              <w:right w:val="nil"/>
            </w:tcBorders>
            <w:shd w:val="clear" w:color="auto" w:fill="auto"/>
            <w:noWrap/>
            <w:vAlign w:val="bottom"/>
            <w:hideMark/>
          </w:tcPr>
          <w:p w14:paraId="4BBF12E8"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50,0</w:t>
            </w:r>
          </w:p>
        </w:tc>
      </w:tr>
      <w:tr w:rsidR="007B739A" w:rsidRPr="007B739A" w14:paraId="321C6388" w14:textId="77777777" w:rsidTr="007B739A">
        <w:trPr>
          <w:trHeight w:val="300"/>
        </w:trPr>
        <w:tc>
          <w:tcPr>
            <w:tcW w:w="1340" w:type="dxa"/>
            <w:tcBorders>
              <w:top w:val="nil"/>
              <w:left w:val="nil"/>
              <w:bottom w:val="nil"/>
              <w:right w:val="nil"/>
            </w:tcBorders>
            <w:shd w:val="clear" w:color="auto" w:fill="auto"/>
            <w:noWrap/>
            <w:vAlign w:val="bottom"/>
            <w:hideMark/>
          </w:tcPr>
          <w:p w14:paraId="03212A73" w14:textId="77777777" w:rsidR="007B739A" w:rsidRPr="007B739A" w:rsidRDefault="007B739A" w:rsidP="007B739A">
            <w:pPr>
              <w:spacing w:after="0" w:line="240" w:lineRule="auto"/>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&gt; 100 mld</w:t>
            </w:r>
          </w:p>
        </w:tc>
        <w:tc>
          <w:tcPr>
            <w:tcW w:w="1600" w:type="dxa"/>
            <w:tcBorders>
              <w:top w:val="nil"/>
              <w:left w:val="nil"/>
              <w:bottom w:val="nil"/>
              <w:right w:val="nil"/>
            </w:tcBorders>
            <w:shd w:val="clear" w:color="auto" w:fill="auto"/>
            <w:noWrap/>
            <w:vAlign w:val="bottom"/>
            <w:hideMark/>
          </w:tcPr>
          <w:p w14:paraId="2A662005"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3,5</w:t>
            </w:r>
          </w:p>
        </w:tc>
        <w:tc>
          <w:tcPr>
            <w:tcW w:w="1600" w:type="dxa"/>
            <w:tcBorders>
              <w:top w:val="nil"/>
              <w:left w:val="nil"/>
              <w:bottom w:val="nil"/>
              <w:right w:val="nil"/>
            </w:tcBorders>
            <w:shd w:val="clear" w:color="auto" w:fill="auto"/>
            <w:noWrap/>
            <w:vAlign w:val="bottom"/>
            <w:hideMark/>
          </w:tcPr>
          <w:p w14:paraId="2AE73A09"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10,0</w:t>
            </w:r>
          </w:p>
        </w:tc>
        <w:tc>
          <w:tcPr>
            <w:tcW w:w="1600" w:type="dxa"/>
            <w:tcBorders>
              <w:top w:val="nil"/>
              <w:left w:val="nil"/>
              <w:bottom w:val="nil"/>
              <w:right w:val="nil"/>
            </w:tcBorders>
            <w:shd w:val="clear" w:color="auto" w:fill="auto"/>
            <w:noWrap/>
            <w:vAlign w:val="bottom"/>
            <w:hideMark/>
          </w:tcPr>
          <w:p w14:paraId="03AA2A10" w14:textId="77777777" w:rsidR="007B739A" w:rsidRPr="007B739A" w:rsidRDefault="007B739A" w:rsidP="007B739A">
            <w:pPr>
              <w:spacing w:after="0" w:line="240" w:lineRule="auto"/>
              <w:jc w:val="center"/>
              <w:rPr>
                <w:rFonts w:ascii="Calibri" w:eastAsia="Times New Roman" w:hAnsi="Calibri" w:cs="Calibri"/>
                <w:color w:val="000000"/>
                <w:sz w:val="16"/>
                <w:szCs w:val="16"/>
                <w:lang w:eastAsia="it-IT"/>
              </w:rPr>
            </w:pPr>
            <w:r w:rsidRPr="007B739A">
              <w:rPr>
                <w:rFonts w:ascii="Calibri" w:eastAsia="Times New Roman" w:hAnsi="Calibri" w:cs="Calibri"/>
                <w:color w:val="000000"/>
                <w:sz w:val="16"/>
                <w:szCs w:val="16"/>
                <w:lang w:eastAsia="it-IT"/>
              </w:rPr>
              <w:t>90,0</w:t>
            </w:r>
          </w:p>
        </w:tc>
      </w:tr>
    </w:tbl>
    <w:p w14:paraId="4848B4A7" w14:textId="18679539" w:rsidR="003972F7" w:rsidRDefault="003972F7" w:rsidP="0073688E">
      <w:pPr>
        <w:pStyle w:val="Paragrafoelenco"/>
        <w:ind w:left="1080"/>
      </w:pPr>
      <w:r>
        <w:lastRenderedPageBreak/>
        <w:t xml:space="preserve">Dalla tabella si vede che le tre ipotesi di tassazione divergono a partire dal valore di soglia di 100 milioni, e conviene anche osservare che lo scenario 3 è incluso a titolo indicativo perché un livello di tassazione annuale così elevata per i patrimoni più alti equivarrebbe a </w:t>
      </w:r>
      <w:r w:rsidR="00B5384B">
        <w:t xml:space="preserve">vietare </w:t>
      </w:r>
      <w:r>
        <w:t>l’esistenza stessa di tali patrimoni.</w:t>
      </w:r>
    </w:p>
    <w:p w14:paraId="004D6052" w14:textId="77777777" w:rsidR="003972F7" w:rsidRDefault="003972F7" w:rsidP="0073688E">
      <w:pPr>
        <w:pStyle w:val="Paragrafoelenco"/>
        <w:ind w:left="1080"/>
      </w:pPr>
    </w:p>
    <w:p w14:paraId="5F0968E5" w14:textId="72532C13" w:rsidR="005260BD" w:rsidRDefault="005260BD" w:rsidP="0073688E">
      <w:pPr>
        <w:pStyle w:val="Paragrafoelenco"/>
        <w:ind w:left="1080"/>
      </w:pPr>
      <w:r>
        <w:t>A livello mondiale l’applicazione delle aliquote indicate produ</w:t>
      </w:r>
      <w:r w:rsidR="00B5384B">
        <w:t>rrebbe</w:t>
      </w:r>
      <w:r>
        <w:t xml:space="preserve"> i ricavi espressi nella tabella seguente </w:t>
      </w:r>
      <w:r w:rsidR="00D84B4D">
        <w:t>che, come anche la successiva, si riferisce all’anno 2021. I</w:t>
      </w:r>
      <w:r>
        <w:t xml:space="preserve"> ricavi sono espressi in percentuale del reddito globale mentre le aliquote sono </w:t>
      </w:r>
      <w:r w:rsidR="00D84B4D">
        <w:t>le aliquote effettive e si riferiscono all’intero patrimonio. La popolazione mondiale è stimata in 5 miliardi di adulti.</w:t>
      </w:r>
    </w:p>
    <w:tbl>
      <w:tblPr>
        <w:tblW w:w="9700" w:type="dxa"/>
        <w:tblCellMar>
          <w:left w:w="70" w:type="dxa"/>
          <w:right w:w="70" w:type="dxa"/>
        </w:tblCellMar>
        <w:tblLook w:val="04A0" w:firstRow="1" w:lastRow="0" w:firstColumn="1" w:lastColumn="0" w:noHBand="0" w:noVBand="1"/>
      </w:tblPr>
      <w:tblGrid>
        <w:gridCol w:w="1380"/>
        <w:gridCol w:w="1120"/>
        <w:gridCol w:w="1480"/>
        <w:gridCol w:w="1160"/>
        <w:gridCol w:w="300"/>
        <w:gridCol w:w="699"/>
        <w:gridCol w:w="560"/>
        <w:gridCol w:w="260"/>
        <w:gridCol w:w="699"/>
        <w:gridCol w:w="560"/>
        <w:gridCol w:w="280"/>
        <w:gridCol w:w="699"/>
        <w:gridCol w:w="560"/>
      </w:tblGrid>
      <w:tr w:rsidR="0053705E" w:rsidRPr="0053705E" w14:paraId="30AFF488" w14:textId="77777777" w:rsidTr="0053705E">
        <w:trPr>
          <w:trHeight w:val="300"/>
        </w:trPr>
        <w:tc>
          <w:tcPr>
            <w:tcW w:w="1380" w:type="dxa"/>
            <w:tcBorders>
              <w:top w:val="nil"/>
              <w:left w:val="nil"/>
              <w:bottom w:val="nil"/>
              <w:right w:val="nil"/>
            </w:tcBorders>
            <w:shd w:val="clear" w:color="auto" w:fill="auto"/>
            <w:noWrap/>
            <w:vAlign w:val="bottom"/>
            <w:hideMark/>
          </w:tcPr>
          <w:p w14:paraId="3893DB16"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intervallo </w:t>
            </w:r>
          </w:p>
        </w:tc>
        <w:tc>
          <w:tcPr>
            <w:tcW w:w="1120" w:type="dxa"/>
            <w:tcBorders>
              <w:top w:val="nil"/>
              <w:left w:val="nil"/>
              <w:bottom w:val="nil"/>
              <w:right w:val="nil"/>
            </w:tcBorders>
            <w:shd w:val="clear" w:color="auto" w:fill="auto"/>
            <w:noWrap/>
            <w:vAlign w:val="bottom"/>
            <w:hideMark/>
          </w:tcPr>
          <w:p w14:paraId="1B48AF10"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numero </w:t>
            </w:r>
          </w:p>
        </w:tc>
        <w:tc>
          <w:tcPr>
            <w:tcW w:w="1480" w:type="dxa"/>
            <w:tcBorders>
              <w:top w:val="nil"/>
              <w:left w:val="nil"/>
              <w:bottom w:val="nil"/>
              <w:right w:val="nil"/>
            </w:tcBorders>
            <w:shd w:val="clear" w:color="auto" w:fill="auto"/>
            <w:noWrap/>
            <w:vAlign w:val="bottom"/>
            <w:hideMark/>
          </w:tcPr>
          <w:p w14:paraId="4E70CB02"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ricchezza totale </w:t>
            </w:r>
          </w:p>
        </w:tc>
        <w:tc>
          <w:tcPr>
            <w:tcW w:w="1160" w:type="dxa"/>
            <w:tcBorders>
              <w:top w:val="nil"/>
              <w:left w:val="nil"/>
              <w:bottom w:val="nil"/>
              <w:right w:val="nil"/>
            </w:tcBorders>
            <w:shd w:val="clear" w:color="auto" w:fill="auto"/>
            <w:noWrap/>
            <w:vAlign w:val="bottom"/>
            <w:hideMark/>
          </w:tcPr>
          <w:p w14:paraId="5828EF88"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ricchezza</w:t>
            </w:r>
          </w:p>
        </w:tc>
        <w:tc>
          <w:tcPr>
            <w:tcW w:w="300" w:type="dxa"/>
            <w:tcBorders>
              <w:top w:val="nil"/>
              <w:left w:val="nil"/>
              <w:bottom w:val="nil"/>
              <w:right w:val="nil"/>
            </w:tcBorders>
            <w:shd w:val="clear" w:color="auto" w:fill="auto"/>
            <w:noWrap/>
            <w:vAlign w:val="bottom"/>
            <w:hideMark/>
          </w:tcPr>
          <w:p w14:paraId="357A0C26"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 </w:t>
            </w:r>
          </w:p>
        </w:tc>
        <w:tc>
          <w:tcPr>
            <w:tcW w:w="680" w:type="dxa"/>
            <w:tcBorders>
              <w:top w:val="nil"/>
              <w:left w:val="nil"/>
              <w:bottom w:val="nil"/>
              <w:right w:val="nil"/>
            </w:tcBorders>
            <w:shd w:val="clear" w:color="auto" w:fill="auto"/>
            <w:noWrap/>
            <w:vAlign w:val="bottom"/>
            <w:hideMark/>
          </w:tcPr>
          <w:p w14:paraId="2630DC2E"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    scenario 1</w:t>
            </w:r>
          </w:p>
        </w:tc>
        <w:tc>
          <w:tcPr>
            <w:tcW w:w="560" w:type="dxa"/>
            <w:tcBorders>
              <w:top w:val="nil"/>
              <w:left w:val="nil"/>
              <w:bottom w:val="nil"/>
              <w:right w:val="nil"/>
            </w:tcBorders>
            <w:shd w:val="clear" w:color="auto" w:fill="auto"/>
            <w:noWrap/>
            <w:vAlign w:val="bottom"/>
            <w:hideMark/>
          </w:tcPr>
          <w:p w14:paraId="3B7BAA67"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p>
        </w:tc>
        <w:tc>
          <w:tcPr>
            <w:tcW w:w="260" w:type="dxa"/>
            <w:tcBorders>
              <w:top w:val="nil"/>
              <w:left w:val="nil"/>
              <w:bottom w:val="nil"/>
              <w:right w:val="nil"/>
            </w:tcBorders>
            <w:shd w:val="clear" w:color="auto" w:fill="auto"/>
            <w:noWrap/>
            <w:vAlign w:val="bottom"/>
            <w:hideMark/>
          </w:tcPr>
          <w:p w14:paraId="1244F528" w14:textId="77777777" w:rsidR="0053705E" w:rsidRPr="0053705E" w:rsidRDefault="0053705E" w:rsidP="0053705E">
            <w:pPr>
              <w:spacing w:after="0" w:line="240" w:lineRule="auto"/>
              <w:jc w:val="center"/>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7A7DBACC"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scenario 2</w:t>
            </w:r>
          </w:p>
        </w:tc>
        <w:tc>
          <w:tcPr>
            <w:tcW w:w="560" w:type="dxa"/>
            <w:tcBorders>
              <w:top w:val="nil"/>
              <w:left w:val="nil"/>
              <w:bottom w:val="nil"/>
              <w:right w:val="nil"/>
            </w:tcBorders>
            <w:shd w:val="clear" w:color="auto" w:fill="auto"/>
            <w:noWrap/>
            <w:vAlign w:val="bottom"/>
            <w:hideMark/>
          </w:tcPr>
          <w:p w14:paraId="447417F3"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p>
        </w:tc>
        <w:tc>
          <w:tcPr>
            <w:tcW w:w="280" w:type="dxa"/>
            <w:tcBorders>
              <w:top w:val="nil"/>
              <w:left w:val="nil"/>
              <w:bottom w:val="nil"/>
              <w:right w:val="nil"/>
            </w:tcBorders>
            <w:shd w:val="clear" w:color="auto" w:fill="auto"/>
            <w:noWrap/>
            <w:vAlign w:val="bottom"/>
            <w:hideMark/>
          </w:tcPr>
          <w:p w14:paraId="34C79839" w14:textId="77777777" w:rsidR="0053705E" w:rsidRPr="0053705E" w:rsidRDefault="0053705E" w:rsidP="0053705E">
            <w:pPr>
              <w:spacing w:after="0" w:line="240" w:lineRule="auto"/>
              <w:jc w:val="center"/>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68279F77"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scenario 3</w:t>
            </w:r>
          </w:p>
        </w:tc>
        <w:tc>
          <w:tcPr>
            <w:tcW w:w="560" w:type="dxa"/>
            <w:tcBorders>
              <w:top w:val="nil"/>
              <w:left w:val="nil"/>
              <w:bottom w:val="nil"/>
              <w:right w:val="nil"/>
            </w:tcBorders>
            <w:shd w:val="clear" w:color="auto" w:fill="auto"/>
            <w:noWrap/>
            <w:vAlign w:val="bottom"/>
            <w:hideMark/>
          </w:tcPr>
          <w:p w14:paraId="531D937D"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p>
        </w:tc>
      </w:tr>
      <w:tr w:rsidR="0053705E" w:rsidRPr="0053705E" w14:paraId="6DDFF626" w14:textId="77777777" w:rsidTr="0053705E">
        <w:trPr>
          <w:trHeight w:val="300"/>
        </w:trPr>
        <w:tc>
          <w:tcPr>
            <w:tcW w:w="1380" w:type="dxa"/>
            <w:tcBorders>
              <w:top w:val="nil"/>
              <w:left w:val="nil"/>
              <w:bottom w:val="nil"/>
              <w:right w:val="nil"/>
            </w:tcBorders>
            <w:shd w:val="clear" w:color="auto" w:fill="auto"/>
            <w:noWrap/>
            <w:vAlign w:val="bottom"/>
            <w:hideMark/>
          </w:tcPr>
          <w:p w14:paraId="6944E23D"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di ricchezza</w:t>
            </w:r>
          </w:p>
        </w:tc>
        <w:tc>
          <w:tcPr>
            <w:tcW w:w="1120" w:type="dxa"/>
            <w:tcBorders>
              <w:top w:val="nil"/>
              <w:left w:val="nil"/>
              <w:bottom w:val="nil"/>
              <w:right w:val="nil"/>
            </w:tcBorders>
            <w:shd w:val="clear" w:color="auto" w:fill="auto"/>
            <w:noWrap/>
            <w:vAlign w:val="bottom"/>
            <w:hideMark/>
          </w:tcPr>
          <w:p w14:paraId="12A84063"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di adulti</w:t>
            </w:r>
          </w:p>
        </w:tc>
        <w:tc>
          <w:tcPr>
            <w:tcW w:w="1480" w:type="dxa"/>
            <w:tcBorders>
              <w:top w:val="nil"/>
              <w:left w:val="nil"/>
              <w:bottom w:val="nil"/>
              <w:right w:val="nil"/>
            </w:tcBorders>
            <w:shd w:val="clear" w:color="auto" w:fill="auto"/>
            <w:noWrap/>
            <w:vAlign w:val="bottom"/>
            <w:hideMark/>
          </w:tcPr>
          <w:p w14:paraId="5BBAE3F7"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totale ($ mld)</w:t>
            </w:r>
          </w:p>
        </w:tc>
        <w:tc>
          <w:tcPr>
            <w:tcW w:w="1160" w:type="dxa"/>
            <w:tcBorders>
              <w:top w:val="nil"/>
              <w:left w:val="nil"/>
              <w:bottom w:val="nil"/>
              <w:right w:val="nil"/>
            </w:tcBorders>
            <w:shd w:val="clear" w:color="auto" w:fill="auto"/>
            <w:noWrap/>
            <w:vAlign w:val="bottom"/>
            <w:hideMark/>
          </w:tcPr>
          <w:p w14:paraId="2BC857F1"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media ($ mln)</w:t>
            </w:r>
          </w:p>
        </w:tc>
        <w:tc>
          <w:tcPr>
            <w:tcW w:w="300" w:type="dxa"/>
            <w:tcBorders>
              <w:top w:val="nil"/>
              <w:left w:val="nil"/>
              <w:bottom w:val="nil"/>
              <w:right w:val="nil"/>
            </w:tcBorders>
            <w:shd w:val="clear" w:color="auto" w:fill="auto"/>
            <w:noWrap/>
            <w:vAlign w:val="bottom"/>
            <w:hideMark/>
          </w:tcPr>
          <w:p w14:paraId="3FE290E4"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1DD5A95"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aliquota</w:t>
            </w:r>
          </w:p>
        </w:tc>
        <w:tc>
          <w:tcPr>
            <w:tcW w:w="560" w:type="dxa"/>
            <w:tcBorders>
              <w:top w:val="nil"/>
              <w:left w:val="nil"/>
              <w:bottom w:val="nil"/>
              <w:right w:val="nil"/>
            </w:tcBorders>
            <w:shd w:val="clear" w:color="auto" w:fill="auto"/>
            <w:noWrap/>
            <w:vAlign w:val="bottom"/>
            <w:hideMark/>
          </w:tcPr>
          <w:p w14:paraId="53E90B93"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ricavo </w:t>
            </w:r>
          </w:p>
        </w:tc>
        <w:tc>
          <w:tcPr>
            <w:tcW w:w="260" w:type="dxa"/>
            <w:tcBorders>
              <w:top w:val="nil"/>
              <w:left w:val="nil"/>
              <w:bottom w:val="nil"/>
              <w:right w:val="nil"/>
            </w:tcBorders>
            <w:shd w:val="clear" w:color="auto" w:fill="auto"/>
            <w:noWrap/>
            <w:vAlign w:val="bottom"/>
            <w:hideMark/>
          </w:tcPr>
          <w:p w14:paraId="2E6DF393"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B261AD4"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aliquota</w:t>
            </w:r>
          </w:p>
        </w:tc>
        <w:tc>
          <w:tcPr>
            <w:tcW w:w="560" w:type="dxa"/>
            <w:tcBorders>
              <w:top w:val="nil"/>
              <w:left w:val="nil"/>
              <w:bottom w:val="nil"/>
              <w:right w:val="nil"/>
            </w:tcBorders>
            <w:shd w:val="clear" w:color="auto" w:fill="auto"/>
            <w:noWrap/>
            <w:vAlign w:val="bottom"/>
            <w:hideMark/>
          </w:tcPr>
          <w:p w14:paraId="0FE01B59"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ricavo </w:t>
            </w:r>
          </w:p>
        </w:tc>
        <w:tc>
          <w:tcPr>
            <w:tcW w:w="280" w:type="dxa"/>
            <w:tcBorders>
              <w:top w:val="nil"/>
              <w:left w:val="nil"/>
              <w:bottom w:val="nil"/>
              <w:right w:val="nil"/>
            </w:tcBorders>
            <w:shd w:val="clear" w:color="auto" w:fill="auto"/>
            <w:noWrap/>
            <w:vAlign w:val="bottom"/>
            <w:hideMark/>
          </w:tcPr>
          <w:p w14:paraId="2385E120"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621A6084"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aliquota</w:t>
            </w:r>
          </w:p>
        </w:tc>
        <w:tc>
          <w:tcPr>
            <w:tcW w:w="560" w:type="dxa"/>
            <w:tcBorders>
              <w:top w:val="nil"/>
              <w:left w:val="nil"/>
              <w:bottom w:val="nil"/>
              <w:right w:val="nil"/>
            </w:tcBorders>
            <w:shd w:val="clear" w:color="auto" w:fill="auto"/>
            <w:noWrap/>
            <w:vAlign w:val="bottom"/>
            <w:hideMark/>
          </w:tcPr>
          <w:p w14:paraId="28F58444"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r w:rsidRPr="0053705E">
              <w:rPr>
                <w:rFonts w:ascii="Calibri" w:eastAsia="Times New Roman" w:hAnsi="Calibri" w:cs="Calibri"/>
                <w:b/>
                <w:bCs/>
                <w:color w:val="000000"/>
                <w:sz w:val="16"/>
                <w:szCs w:val="16"/>
                <w:lang w:eastAsia="it-IT"/>
              </w:rPr>
              <w:t xml:space="preserve">ricavo </w:t>
            </w:r>
          </w:p>
        </w:tc>
      </w:tr>
      <w:tr w:rsidR="0053705E" w:rsidRPr="0053705E" w14:paraId="75782EEF" w14:textId="77777777" w:rsidTr="0053705E">
        <w:trPr>
          <w:trHeight w:val="300"/>
        </w:trPr>
        <w:tc>
          <w:tcPr>
            <w:tcW w:w="1380" w:type="dxa"/>
            <w:tcBorders>
              <w:top w:val="nil"/>
              <w:left w:val="nil"/>
              <w:bottom w:val="nil"/>
              <w:right w:val="nil"/>
            </w:tcBorders>
            <w:shd w:val="clear" w:color="auto" w:fill="auto"/>
            <w:noWrap/>
            <w:vAlign w:val="bottom"/>
            <w:hideMark/>
          </w:tcPr>
          <w:p w14:paraId="43F2FAA7" w14:textId="77777777" w:rsidR="0053705E" w:rsidRPr="0053705E" w:rsidRDefault="0053705E" w:rsidP="0053705E">
            <w:pPr>
              <w:spacing w:after="0" w:line="240" w:lineRule="auto"/>
              <w:jc w:val="center"/>
              <w:rPr>
                <w:rFonts w:ascii="Calibri" w:eastAsia="Times New Roman" w:hAnsi="Calibri" w:cs="Calibri"/>
                <w:b/>
                <w:bCs/>
                <w:color w:val="000000"/>
                <w:sz w:val="16"/>
                <w:szCs w:val="16"/>
                <w:lang w:eastAsia="it-IT"/>
              </w:rPr>
            </w:pPr>
          </w:p>
        </w:tc>
        <w:tc>
          <w:tcPr>
            <w:tcW w:w="1120" w:type="dxa"/>
            <w:tcBorders>
              <w:top w:val="nil"/>
              <w:left w:val="nil"/>
              <w:bottom w:val="nil"/>
              <w:right w:val="nil"/>
            </w:tcBorders>
            <w:shd w:val="clear" w:color="auto" w:fill="auto"/>
            <w:noWrap/>
            <w:vAlign w:val="bottom"/>
            <w:hideMark/>
          </w:tcPr>
          <w:p w14:paraId="5B86B368"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1480" w:type="dxa"/>
            <w:tcBorders>
              <w:top w:val="nil"/>
              <w:left w:val="nil"/>
              <w:bottom w:val="nil"/>
              <w:right w:val="nil"/>
            </w:tcBorders>
            <w:shd w:val="clear" w:color="auto" w:fill="auto"/>
            <w:noWrap/>
            <w:vAlign w:val="bottom"/>
            <w:hideMark/>
          </w:tcPr>
          <w:p w14:paraId="599D7558"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1160" w:type="dxa"/>
            <w:tcBorders>
              <w:top w:val="nil"/>
              <w:left w:val="nil"/>
              <w:bottom w:val="nil"/>
              <w:right w:val="nil"/>
            </w:tcBorders>
            <w:shd w:val="clear" w:color="auto" w:fill="auto"/>
            <w:noWrap/>
            <w:vAlign w:val="bottom"/>
            <w:hideMark/>
          </w:tcPr>
          <w:p w14:paraId="08ABA5A3"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300" w:type="dxa"/>
            <w:tcBorders>
              <w:top w:val="nil"/>
              <w:left w:val="nil"/>
              <w:bottom w:val="nil"/>
              <w:right w:val="nil"/>
            </w:tcBorders>
            <w:shd w:val="clear" w:color="auto" w:fill="auto"/>
            <w:noWrap/>
            <w:vAlign w:val="bottom"/>
            <w:hideMark/>
          </w:tcPr>
          <w:p w14:paraId="3BFE0A93"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1BE87143"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560" w:type="dxa"/>
            <w:tcBorders>
              <w:top w:val="nil"/>
              <w:left w:val="nil"/>
              <w:bottom w:val="nil"/>
              <w:right w:val="nil"/>
            </w:tcBorders>
            <w:shd w:val="clear" w:color="auto" w:fill="auto"/>
            <w:noWrap/>
            <w:vAlign w:val="bottom"/>
            <w:hideMark/>
          </w:tcPr>
          <w:p w14:paraId="3F4DD23C"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260" w:type="dxa"/>
            <w:tcBorders>
              <w:top w:val="nil"/>
              <w:left w:val="nil"/>
              <w:bottom w:val="nil"/>
              <w:right w:val="nil"/>
            </w:tcBorders>
            <w:shd w:val="clear" w:color="auto" w:fill="auto"/>
            <w:noWrap/>
            <w:vAlign w:val="bottom"/>
            <w:hideMark/>
          </w:tcPr>
          <w:p w14:paraId="278718CC"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04CF0B27"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560" w:type="dxa"/>
            <w:tcBorders>
              <w:top w:val="nil"/>
              <w:left w:val="nil"/>
              <w:bottom w:val="nil"/>
              <w:right w:val="nil"/>
            </w:tcBorders>
            <w:shd w:val="clear" w:color="auto" w:fill="auto"/>
            <w:noWrap/>
            <w:vAlign w:val="bottom"/>
            <w:hideMark/>
          </w:tcPr>
          <w:p w14:paraId="15EB7DC2"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280" w:type="dxa"/>
            <w:tcBorders>
              <w:top w:val="nil"/>
              <w:left w:val="nil"/>
              <w:bottom w:val="nil"/>
              <w:right w:val="nil"/>
            </w:tcBorders>
            <w:shd w:val="clear" w:color="auto" w:fill="auto"/>
            <w:noWrap/>
            <w:vAlign w:val="bottom"/>
            <w:hideMark/>
          </w:tcPr>
          <w:p w14:paraId="064443DC"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03EC143C"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c>
          <w:tcPr>
            <w:tcW w:w="560" w:type="dxa"/>
            <w:tcBorders>
              <w:top w:val="nil"/>
              <w:left w:val="nil"/>
              <w:bottom w:val="nil"/>
              <w:right w:val="nil"/>
            </w:tcBorders>
            <w:shd w:val="clear" w:color="auto" w:fill="auto"/>
            <w:noWrap/>
            <w:vAlign w:val="bottom"/>
            <w:hideMark/>
          </w:tcPr>
          <w:p w14:paraId="12D0F5F3" w14:textId="77777777" w:rsidR="0053705E" w:rsidRPr="0053705E" w:rsidRDefault="0053705E" w:rsidP="0053705E">
            <w:pPr>
              <w:spacing w:after="0" w:line="240" w:lineRule="auto"/>
              <w:rPr>
                <w:rFonts w:ascii="Times New Roman" w:eastAsia="Times New Roman" w:hAnsi="Times New Roman" w:cs="Times New Roman"/>
                <w:sz w:val="20"/>
                <w:szCs w:val="20"/>
                <w:lang w:eastAsia="it-IT"/>
              </w:rPr>
            </w:pPr>
          </w:p>
        </w:tc>
      </w:tr>
      <w:tr w:rsidR="0053705E" w:rsidRPr="0053705E" w14:paraId="5225EFDA" w14:textId="77777777" w:rsidTr="0053705E">
        <w:trPr>
          <w:trHeight w:val="300"/>
        </w:trPr>
        <w:tc>
          <w:tcPr>
            <w:tcW w:w="1380" w:type="dxa"/>
            <w:tcBorders>
              <w:top w:val="nil"/>
              <w:left w:val="nil"/>
              <w:bottom w:val="nil"/>
              <w:right w:val="nil"/>
            </w:tcBorders>
            <w:shd w:val="clear" w:color="auto" w:fill="auto"/>
            <w:noWrap/>
            <w:vAlign w:val="bottom"/>
            <w:hideMark/>
          </w:tcPr>
          <w:p w14:paraId="1EAD87DA" w14:textId="77777777" w:rsidR="0053705E" w:rsidRPr="0053705E" w:rsidRDefault="0053705E" w:rsidP="0053705E">
            <w:pPr>
              <w:spacing w:after="0" w:line="240" w:lineRule="auto"/>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tutti &gt; 1 mln</w:t>
            </w:r>
          </w:p>
        </w:tc>
        <w:tc>
          <w:tcPr>
            <w:tcW w:w="1120" w:type="dxa"/>
            <w:tcBorders>
              <w:top w:val="nil"/>
              <w:left w:val="nil"/>
              <w:bottom w:val="nil"/>
              <w:right w:val="nil"/>
            </w:tcBorders>
            <w:shd w:val="clear" w:color="auto" w:fill="auto"/>
            <w:noWrap/>
            <w:vAlign w:val="bottom"/>
            <w:hideMark/>
          </w:tcPr>
          <w:p w14:paraId="024187F2"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62165160</w:t>
            </w:r>
          </w:p>
        </w:tc>
        <w:tc>
          <w:tcPr>
            <w:tcW w:w="1480" w:type="dxa"/>
            <w:tcBorders>
              <w:top w:val="nil"/>
              <w:left w:val="nil"/>
              <w:bottom w:val="nil"/>
              <w:right w:val="nil"/>
            </w:tcBorders>
            <w:shd w:val="clear" w:color="auto" w:fill="auto"/>
            <w:noWrap/>
            <w:vAlign w:val="bottom"/>
            <w:hideMark/>
          </w:tcPr>
          <w:p w14:paraId="270908E9"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174200</w:t>
            </w:r>
          </w:p>
        </w:tc>
        <w:tc>
          <w:tcPr>
            <w:tcW w:w="1160" w:type="dxa"/>
            <w:tcBorders>
              <w:top w:val="nil"/>
              <w:left w:val="nil"/>
              <w:bottom w:val="nil"/>
              <w:right w:val="nil"/>
            </w:tcBorders>
            <w:shd w:val="clear" w:color="auto" w:fill="auto"/>
            <w:noWrap/>
            <w:vAlign w:val="bottom"/>
            <w:hideMark/>
          </w:tcPr>
          <w:p w14:paraId="20A79CC1"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2,8</w:t>
            </w:r>
          </w:p>
        </w:tc>
        <w:tc>
          <w:tcPr>
            <w:tcW w:w="300" w:type="dxa"/>
            <w:tcBorders>
              <w:top w:val="nil"/>
              <w:left w:val="nil"/>
              <w:bottom w:val="nil"/>
              <w:right w:val="nil"/>
            </w:tcBorders>
            <w:shd w:val="clear" w:color="auto" w:fill="auto"/>
            <w:noWrap/>
            <w:vAlign w:val="bottom"/>
            <w:hideMark/>
          </w:tcPr>
          <w:p w14:paraId="593554E1"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6E06217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w:t>
            </w:r>
          </w:p>
        </w:tc>
        <w:tc>
          <w:tcPr>
            <w:tcW w:w="560" w:type="dxa"/>
            <w:tcBorders>
              <w:top w:val="nil"/>
              <w:left w:val="nil"/>
              <w:bottom w:val="nil"/>
              <w:right w:val="nil"/>
            </w:tcBorders>
            <w:shd w:val="clear" w:color="auto" w:fill="auto"/>
            <w:noWrap/>
            <w:vAlign w:val="bottom"/>
            <w:hideMark/>
          </w:tcPr>
          <w:p w14:paraId="7C3FABD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1,6</w:t>
            </w:r>
          </w:p>
        </w:tc>
        <w:tc>
          <w:tcPr>
            <w:tcW w:w="260" w:type="dxa"/>
            <w:tcBorders>
              <w:top w:val="nil"/>
              <w:left w:val="nil"/>
              <w:bottom w:val="nil"/>
              <w:right w:val="nil"/>
            </w:tcBorders>
            <w:shd w:val="clear" w:color="auto" w:fill="auto"/>
            <w:noWrap/>
            <w:vAlign w:val="bottom"/>
            <w:hideMark/>
          </w:tcPr>
          <w:p w14:paraId="31B186C5"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28BF7A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1,2</w:t>
            </w:r>
          </w:p>
        </w:tc>
        <w:tc>
          <w:tcPr>
            <w:tcW w:w="560" w:type="dxa"/>
            <w:tcBorders>
              <w:top w:val="nil"/>
              <w:left w:val="nil"/>
              <w:bottom w:val="nil"/>
              <w:right w:val="nil"/>
            </w:tcBorders>
            <w:shd w:val="clear" w:color="auto" w:fill="auto"/>
            <w:noWrap/>
            <w:vAlign w:val="bottom"/>
            <w:hideMark/>
          </w:tcPr>
          <w:p w14:paraId="4EA985F5"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2,1</w:t>
            </w:r>
          </w:p>
        </w:tc>
        <w:tc>
          <w:tcPr>
            <w:tcW w:w="280" w:type="dxa"/>
            <w:tcBorders>
              <w:top w:val="nil"/>
              <w:left w:val="nil"/>
              <w:bottom w:val="nil"/>
              <w:right w:val="nil"/>
            </w:tcBorders>
            <w:shd w:val="clear" w:color="auto" w:fill="auto"/>
            <w:noWrap/>
            <w:vAlign w:val="bottom"/>
            <w:hideMark/>
          </w:tcPr>
          <w:p w14:paraId="5884E73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DA7FAD4"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3,2</w:t>
            </w:r>
          </w:p>
        </w:tc>
        <w:tc>
          <w:tcPr>
            <w:tcW w:w="560" w:type="dxa"/>
            <w:tcBorders>
              <w:top w:val="nil"/>
              <w:left w:val="nil"/>
              <w:bottom w:val="nil"/>
              <w:right w:val="nil"/>
            </w:tcBorders>
            <w:shd w:val="clear" w:color="auto" w:fill="auto"/>
            <w:noWrap/>
            <w:vAlign w:val="bottom"/>
            <w:hideMark/>
          </w:tcPr>
          <w:p w14:paraId="304E97E5"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5,3</w:t>
            </w:r>
          </w:p>
        </w:tc>
      </w:tr>
      <w:tr w:rsidR="0053705E" w:rsidRPr="0053705E" w14:paraId="7B2487EC" w14:textId="77777777" w:rsidTr="0053705E">
        <w:trPr>
          <w:trHeight w:val="300"/>
        </w:trPr>
        <w:tc>
          <w:tcPr>
            <w:tcW w:w="1380" w:type="dxa"/>
            <w:tcBorders>
              <w:top w:val="nil"/>
              <w:left w:val="nil"/>
              <w:bottom w:val="nil"/>
              <w:right w:val="nil"/>
            </w:tcBorders>
            <w:shd w:val="clear" w:color="auto" w:fill="auto"/>
            <w:noWrap/>
            <w:vAlign w:val="bottom"/>
            <w:hideMark/>
          </w:tcPr>
          <w:p w14:paraId="146F58DD" w14:textId="77777777" w:rsidR="0053705E" w:rsidRPr="0053705E" w:rsidRDefault="0053705E" w:rsidP="0053705E">
            <w:pPr>
              <w:spacing w:after="0" w:line="240" w:lineRule="auto"/>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 mln - 10 mln</w:t>
            </w:r>
          </w:p>
        </w:tc>
        <w:tc>
          <w:tcPr>
            <w:tcW w:w="1120" w:type="dxa"/>
            <w:tcBorders>
              <w:top w:val="nil"/>
              <w:left w:val="nil"/>
              <w:bottom w:val="nil"/>
              <w:right w:val="nil"/>
            </w:tcBorders>
            <w:shd w:val="clear" w:color="auto" w:fill="auto"/>
            <w:noWrap/>
            <w:vAlign w:val="bottom"/>
            <w:hideMark/>
          </w:tcPr>
          <w:p w14:paraId="0EB0C18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60319510</w:t>
            </w:r>
          </w:p>
        </w:tc>
        <w:tc>
          <w:tcPr>
            <w:tcW w:w="1480" w:type="dxa"/>
            <w:tcBorders>
              <w:top w:val="nil"/>
              <w:left w:val="nil"/>
              <w:bottom w:val="nil"/>
              <w:right w:val="nil"/>
            </w:tcBorders>
            <w:shd w:val="clear" w:color="auto" w:fill="auto"/>
            <w:noWrap/>
            <w:vAlign w:val="bottom"/>
            <w:hideMark/>
          </w:tcPr>
          <w:p w14:paraId="2DFCDDB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111100</w:t>
            </w:r>
          </w:p>
        </w:tc>
        <w:tc>
          <w:tcPr>
            <w:tcW w:w="1160" w:type="dxa"/>
            <w:tcBorders>
              <w:top w:val="nil"/>
              <w:left w:val="nil"/>
              <w:bottom w:val="nil"/>
              <w:right w:val="nil"/>
            </w:tcBorders>
            <w:shd w:val="clear" w:color="auto" w:fill="auto"/>
            <w:noWrap/>
            <w:vAlign w:val="bottom"/>
            <w:hideMark/>
          </w:tcPr>
          <w:p w14:paraId="58D36E01"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1,8</w:t>
            </w:r>
          </w:p>
        </w:tc>
        <w:tc>
          <w:tcPr>
            <w:tcW w:w="300" w:type="dxa"/>
            <w:tcBorders>
              <w:top w:val="nil"/>
              <w:left w:val="nil"/>
              <w:bottom w:val="nil"/>
              <w:right w:val="nil"/>
            </w:tcBorders>
            <w:shd w:val="clear" w:color="auto" w:fill="auto"/>
            <w:noWrap/>
            <w:vAlign w:val="bottom"/>
            <w:hideMark/>
          </w:tcPr>
          <w:p w14:paraId="42300E1B"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899F14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0,6</w:t>
            </w:r>
          </w:p>
        </w:tc>
        <w:tc>
          <w:tcPr>
            <w:tcW w:w="560" w:type="dxa"/>
            <w:tcBorders>
              <w:top w:val="nil"/>
              <w:left w:val="nil"/>
              <w:bottom w:val="nil"/>
              <w:right w:val="nil"/>
            </w:tcBorders>
            <w:shd w:val="clear" w:color="auto" w:fill="auto"/>
            <w:noWrap/>
            <w:vAlign w:val="bottom"/>
            <w:hideMark/>
          </w:tcPr>
          <w:p w14:paraId="54CB32D3"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0,6</w:t>
            </w:r>
          </w:p>
        </w:tc>
        <w:tc>
          <w:tcPr>
            <w:tcW w:w="260" w:type="dxa"/>
            <w:tcBorders>
              <w:top w:val="nil"/>
              <w:left w:val="nil"/>
              <w:bottom w:val="nil"/>
              <w:right w:val="nil"/>
            </w:tcBorders>
            <w:shd w:val="clear" w:color="auto" w:fill="auto"/>
            <w:noWrap/>
            <w:vAlign w:val="bottom"/>
            <w:hideMark/>
          </w:tcPr>
          <w:p w14:paraId="12699B4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87799DC"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0,6</w:t>
            </w:r>
          </w:p>
        </w:tc>
        <w:tc>
          <w:tcPr>
            <w:tcW w:w="560" w:type="dxa"/>
            <w:tcBorders>
              <w:top w:val="nil"/>
              <w:left w:val="nil"/>
              <w:bottom w:val="nil"/>
              <w:right w:val="nil"/>
            </w:tcBorders>
            <w:shd w:val="clear" w:color="auto" w:fill="auto"/>
            <w:noWrap/>
            <w:vAlign w:val="bottom"/>
            <w:hideMark/>
          </w:tcPr>
          <w:p w14:paraId="1F56724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0,6</w:t>
            </w:r>
          </w:p>
        </w:tc>
        <w:tc>
          <w:tcPr>
            <w:tcW w:w="280" w:type="dxa"/>
            <w:tcBorders>
              <w:top w:val="nil"/>
              <w:left w:val="nil"/>
              <w:bottom w:val="nil"/>
              <w:right w:val="nil"/>
            </w:tcBorders>
            <w:shd w:val="clear" w:color="auto" w:fill="auto"/>
            <w:noWrap/>
            <w:vAlign w:val="bottom"/>
            <w:hideMark/>
          </w:tcPr>
          <w:p w14:paraId="526BC4AB"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B64C604"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0,6</w:t>
            </w:r>
          </w:p>
        </w:tc>
        <w:tc>
          <w:tcPr>
            <w:tcW w:w="560" w:type="dxa"/>
            <w:tcBorders>
              <w:top w:val="nil"/>
              <w:left w:val="nil"/>
              <w:bottom w:val="nil"/>
              <w:right w:val="nil"/>
            </w:tcBorders>
            <w:shd w:val="clear" w:color="auto" w:fill="auto"/>
            <w:noWrap/>
            <w:vAlign w:val="bottom"/>
            <w:hideMark/>
          </w:tcPr>
          <w:p w14:paraId="340D3E87"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0,6</w:t>
            </w:r>
          </w:p>
        </w:tc>
      </w:tr>
      <w:tr w:rsidR="0053705E" w:rsidRPr="0053705E" w14:paraId="7D09A2B5" w14:textId="77777777" w:rsidTr="0053705E">
        <w:trPr>
          <w:trHeight w:val="300"/>
        </w:trPr>
        <w:tc>
          <w:tcPr>
            <w:tcW w:w="1380" w:type="dxa"/>
            <w:tcBorders>
              <w:top w:val="nil"/>
              <w:left w:val="nil"/>
              <w:bottom w:val="nil"/>
              <w:right w:val="nil"/>
            </w:tcBorders>
            <w:shd w:val="clear" w:color="auto" w:fill="auto"/>
            <w:noWrap/>
            <w:vAlign w:val="bottom"/>
            <w:hideMark/>
          </w:tcPr>
          <w:p w14:paraId="437F627E" w14:textId="77777777" w:rsidR="0053705E" w:rsidRPr="0053705E" w:rsidRDefault="0053705E" w:rsidP="0053705E">
            <w:pPr>
              <w:spacing w:after="0" w:line="240" w:lineRule="auto"/>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10 mln - 100 mln</w:t>
            </w:r>
          </w:p>
        </w:tc>
        <w:tc>
          <w:tcPr>
            <w:tcW w:w="1120" w:type="dxa"/>
            <w:tcBorders>
              <w:top w:val="nil"/>
              <w:left w:val="nil"/>
              <w:bottom w:val="nil"/>
              <w:right w:val="nil"/>
            </w:tcBorders>
            <w:shd w:val="clear" w:color="auto" w:fill="auto"/>
            <w:noWrap/>
            <w:vAlign w:val="bottom"/>
            <w:hideMark/>
          </w:tcPr>
          <w:p w14:paraId="08F25C0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1769200</w:t>
            </w:r>
          </w:p>
        </w:tc>
        <w:tc>
          <w:tcPr>
            <w:tcW w:w="1480" w:type="dxa"/>
            <w:tcBorders>
              <w:top w:val="nil"/>
              <w:left w:val="nil"/>
              <w:bottom w:val="nil"/>
              <w:right w:val="nil"/>
            </w:tcBorders>
            <w:shd w:val="clear" w:color="auto" w:fill="auto"/>
            <w:noWrap/>
            <w:vAlign w:val="bottom"/>
            <w:hideMark/>
          </w:tcPr>
          <w:p w14:paraId="54C26E9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33600</w:t>
            </w:r>
          </w:p>
        </w:tc>
        <w:tc>
          <w:tcPr>
            <w:tcW w:w="1160" w:type="dxa"/>
            <w:tcBorders>
              <w:top w:val="nil"/>
              <w:left w:val="nil"/>
              <w:bottom w:val="nil"/>
              <w:right w:val="nil"/>
            </w:tcBorders>
            <w:shd w:val="clear" w:color="auto" w:fill="auto"/>
            <w:noWrap/>
            <w:vAlign w:val="bottom"/>
            <w:hideMark/>
          </w:tcPr>
          <w:p w14:paraId="421940B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19</w:t>
            </w:r>
          </w:p>
        </w:tc>
        <w:tc>
          <w:tcPr>
            <w:tcW w:w="300" w:type="dxa"/>
            <w:tcBorders>
              <w:top w:val="nil"/>
              <w:left w:val="nil"/>
              <w:bottom w:val="nil"/>
              <w:right w:val="nil"/>
            </w:tcBorders>
            <w:shd w:val="clear" w:color="auto" w:fill="auto"/>
            <w:noWrap/>
            <w:vAlign w:val="bottom"/>
            <w:hideMark/>
          </w:tcPr>
          <w:p w14:paraId="5DD5811A"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62C6B89B"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1,3</w:t>
            </w:r>
          </w:p>
        </w:tc>
        <w:tc>
          <w:tcPr>
            <w:tcW w:w="560" w:type="dxa"/>
            <w:tcBorders>
              <w:top w:val="nil"/>
              <w:left w:val="nil"/>
              <w:bottom w:val="nil"/>
              <w:right w:val="nil"/>
            </w:tcBorders>
            <w:shd w:val="clear" w:color="auto" w:fill="auto"/>
            <w:noWrap/>
            <w:vAlign w:val="bottom"/>
            <w:hideMark/>
          </w:tcPr>
          <w:p w14:paraId="7CA4FD4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0,4</w:t>
            </w:r>
          </w:p>
        </w:tc>
        <w:tc>
          <w:tcPr>
            <w:tcW w:w="260" w:type="dxa"/>
            <w:tcBorders>
              <w:top w:val="nil"/>
              <w:left w:val="nil"/>
              <w:bottom w:val="nil"/>
              <w:right w:val="nil"/>
            </w:tcBorders>
            <w:shd w:val="clear" w:color="auto" w:fill="auto"/>
            <w:noWrap/>
            <w:vAlign w:val="bottom"/>
            <w:hideMark/>
          </w:tcPr>
          <w:p w14:paraId="609681DC"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900BDC0"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1,1</w:t>
            </w:r>
          </w:p>
        </w:tc>
        <w:tc>
          <w:tcPr>
            <w:tcW w:w="560" w:type="dxa"/>
            <w:tcBorders>
              <w:top w:val="nil"/>
              <w:left w:val="nil"/>
              <w:bottom w:val="nil"/>
              <w:right w:val="nil"/>
            </w:tcBorders>
            <w:shd w:val="clear" w:color="auto" w:fill="auto"/>
            <w:noWrap/>
            <w:vAlign w:val="bottom"/>
            <w:hideMark/>
          </w:tcPr>
          <w:p w14:paraId="7C7C26A5"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0,4</w:t>
            </w:r>
          </w:p>
        </w:tc>
        <w:tc>
          <w:tcPr>
            <w:tcW w:w="280" w:type="dxa"/>
            <w:tcBorders>
              <w:top w:val="nil"/>
              <w:left w:val="nil"/>
              <w:bottom w:val="nil"/>
              <w:right w:val="nil"/>
            </w:tcBorders>
            <w:shd w:val="clear" w:color="auto" w:fill="auto"/>
            <w:noWrap/>
            <w:vAlign w:val="bottom"/>
            <w:hideMark/>
          </w:tcPr>
          <w:p w14:paraId="41E3751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E10A609"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1,3</w:t>
            </w:r>
          </w:p>
        </w:tc>
        <w:tc>
          <w:tcPr>
            <w:tcW w:w="560" w:type="dxa"/>
            <w:tcBorders>
              <w:top w:val="nil"/>
              <w:left w:val="nil"/>
              <w:bottom w:val="nil"/>
              <w:right w:val="nil"/>
            </w:tcBorders>
            <w:shd w:val="clear" w:color="auto" w:fill="auto"/>
            <w:noWrap/>
            <w:vAlign w:val="bottom"/>
            <w:hideMark/>
          </w:tcPr>
          <w:p w14:paraId="6FBE9290"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0,4</w:t>
            </w:r>
          </w:p>
        </w:tc>
      </w:tr>
      <w:tr w:rsidR="0053705E" w:rsidRPr="0053705E" w14:paraId="6A6CC416" w14:textId="77777777" w:rsidTr="0053705E">
        <w:trPr>
          <w:trHeight w:val="300"/>
        </w:trPr>
        <w:tc>
          <w:tcPr>
            <w:tcW w:w="1380" w:type="dxa"/>
            <w:tcBorders>
              <w:top w:val="nil"/>
              <w:left w:val="nil"/>
              <w:bottom w:val="nil"/>
              <w:right w:val="nil"/>
            </w:tcBorders>
            <w:shd w:val="clear" w:color="auto" w:fill="auto"/>
            <w:noWrap/>
            <w:vAlign w:val="bottom"/>
            <w:hideMark/>
          </w:tcPr>
          <w:p w14:paraId="75B3F874" w14:textId="77777777" w:rsidR="0053705E" w:rsidRPr="0053705E" w:rsidRDefault="0053705E" w:rsidP="0053705E">
            <w:pPr>
              <w:spacing w:after="0" w:line="240" w:lineRule="auto"/>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100 mln - 1 mld</w:t>
            </w:r>
          </w:p>
        </w:tc>
        <w:tc>
          <w:tcPr>
            <w:tcW w:w="1120" w:type="dxa"/>
            <w:tcBorders>
              <w:top w:val="nil"/>
              <w:left w:val="nil"/>
              <w:bottom w:val="nil"/>
              <w:right w:val="nil"/>
            </w:tcBorders>
            <w:shd w:val="clear" w:color="auto" w:fill="auto"/>
            <w:noWrap/>
            <w:vAlign w:val="bottom"/>
            <w:hideMark/>
          </w:tcPr>
          <w:p w14:paraId="144F8057"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73710</w:t>
            </w:r>
          </w:p>
        </w:tc>
        <w:tc>
          <w:tcPr>
            <w:tcW w:w="1480" w:type="dxa"/>
            <w:tcBorders>
              <w:top w:val="nil"/>
              <w:left w:val="nil"/>
              <w:bottom w:val="nil"/>
              <w:right w:val="nil"/>
            </w:tcBorders>
            <w:shd w:val="clear" w:color="auto" w:fill="auto"/>
            <w:noWrap/>
            <w:vAlign w:val="bottom"/>
            <w:hideMark/>
          </w:tcPr>
          <w:p w14:paraId="48FB495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16500</w:t>
            </w:r>
          </w:p>
        </w:tc>
        <w:tc>
          <w:tcPr>
            <w:tcW w:w="1160" w:type="dxa"/>
            <w:tcBorders>
              <w:top w:val="nil"/>
              <w:left w:val="nil"/>
              <w:bottom w:val="nil"/>
              <w:right w:val="nil"/>
            </w:tcBorders>
            <w:shd w:val="clear" w:color="auto" w:fill="auto"/>
            <w:noWrap/>
            <w:vAlign w:val="bottom"/>
            <w:hideMark/>
          </w:tcPr>
          <w:p w14:paraId="6B3A8B17"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220</w:t>
            </w:r>
          </w:p>
        </w:tc>
        <w:tc>
          <w:tcPr>
            <w:tcW w:w="300" w:type="dxa"/>
            <w:tcBorders>
              <w:top w:val="nil"/>
              <w:left w:val="nil"/>
              <w:bottom w:val="nil"/>
              <w:right w:val="nil"/>
            </w:tcBorders>
            <w:shd w:val="clear" w:color="auto" w:fill="auto"/>
            <w:noWrap/>
            <w:vAlign w:val="bottom"/>
            <w:hideMark/>
          </w:tcPr>
          <w:p w14:paraId="3FF6D96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C00365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1,5</w:t>
            </w:r>
          </w:p>
        </w:tc>
        <w:tc>
          <w:tcPr>
            <w:tcW w:w="560" w:type="dxa"/>
            <w:tcBorders>
              <w:top w:val="nil"/>
              <w:left w:val="nil"/>
              <w:bottom w:val="nil"/>
              <w:right w:val="nil"/>
            </w:tcBorders>
            <w:shd w:val="clear" w:color="auto" w:fill="auto"/>
            <w:noWrap/>
            <w:vAlign w:val="bottom"/>
            <w:hideMark/>
          </w:tcPr>
          <w:p w14:paraId="2F31783B"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0,2</w:t>
            </w:r>
          </w:p>
        </w:tc>
        <w:tc>
          <w:tcPr>
            <w:tcW w:w="260" w:type="dxa"/>
            <w:tcBorders>
              <w:top w:val="nil"/>
              <w:left w:val="nil"/>
              <w:bottom w:val="nil"/>
              <w:right w:val="nil"/>
            </w:tcBorders>
            <w:shd w:val="clear" w:color="auto" w:fill="auto"/>
            <w:noWrap/>
            <w:vAlign w:val="bottom"/>
            <w:hideMark/>
          </w:tcPr>
          <w:p w14:paraId="17DE33F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27D78D5"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2,4</w:t>
            </w:r>
          </w:p>
        </w:tc>
        <w:tc>
          <w:tcPr>
            <w:tcW w:w="560" w:type="dxa"/>
            <w:tcBorders>
              <w:top w:val="nil"/>
              <w:left w:val="nil"/>
              <w:bottom w:val="nil"/>
              <w:right w:val="nil"/>
            </w:tcBorders>
            <w:shd w:val="clear" w:color="auto" w:fill="auto"/>
            <w:noWrap/>
            <w:vAlign w:val="bottom"/>
            <w:hideMark/>
          </w:tcPr>
          <w:p w14:paraId="629149E2"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0,4</w:t>
            </w:r>
          </w:p>
        </w:tc>
        <w:tc>
          <w:tcPr>
            <w:tcW w:w="280" w:type="dxa"/>
            <w:tcBorders>
              <w:top w:val="nil"/>
              <w:left w:val="nil"/>
              <w:bottom w:val="nil"/>
              <w:right w:val="nil"/>
            </w:tcBorders>
            <w:shd w:val="clear" w:color="auto" w:fill="auto"/>
            <w:noWrap/>
            <w:vAlign w:val="bottom"/>
            <w:hideMark/>
          </w:tcPr>
          <w:p w14:paraId="7ACC6061"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D9A5E0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5,2</w:t>
            </w:r>
          </w:p>
        </w:tc>
        <w:tc>
          <w:tcPr>
            <w:tcW w:w="560" w:type="dxa"/>
            <w:tcBorders>
              <w:top w:val="nil"/>
              <w:left w:val="nil"/>
              <w:bottom w:val="nil"/>
              <w:right w:val="nil"/>
            </w:tcBorders>
            <w:shd w:val="clear" w:color="auto" w:fill="auto"/>
            <w:noWrap/>
            <w:vAlign w:val="bottom"/>
            <w:hideMark/>
          </w:tcPr>
          <w:p w14:paraId="7616F974"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0,8</w:t>
            </w:r>
          </w:p>
        </w:tc>
      </w:tr>
      <w:tr w:rsidR="0053705E" w:rsidRPr="0053705E" w14:paraId="768D7EAB" w14:textId="77777777" w:rsidTr="0053705E">
        <w:trPr>
          <w:trHeight w:val="300"/>
        </w:trPr>
        <w:tc>
          <w:tcPr>
            <w:tcW w:w="1380" w:type="dxa"/>
            <w:tcBorders>
              <w:top w:val="nil"/>
              <w:left w:val="nil"/>
              <w:bottom w:val="nil"/>
              <w:right w:val="nil"/>
            </w:tcBorders>
            <w:shd w:val="clear" w:color="auto" w:fill="auto"/>
            <w:noWrap/>
            <w:vAlign w:val="bottom"/>
            <w:hideMark/>
          </w:tcPr>
          <w:p w14:paraId="69AB5E06" w14:textId="77777777" w:rsidR="0053705E" w:rsidRPr="0053705E" w:rsidRDefault="0053705E" w:rsidP="0053705E">
            <w:pPr>
              <w:spacing w:after="0" w:line="240" w:lineRule="auto"/>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 mld - 10 mld</w:t>
            </w:r>
          </w:p>
        </w:tc>
        <w:tc>
          <w:tcPr>
            <w:tcW w:w="1120" w:type="dxa"/>
            <w:tcBorders>
              <w:top w:val="nil"/>
              <w:left w:val="nil"/>
              <w:bottom w:val="nil"/>
              <w:right w:val="nil"/>
            </w:tcBorders>
            <w:shd w:val="clear" w:color="auto" w:fill="auto"/>
            <w:noWrap/>
            <w:vAlign w:val="bottom"/>
            <w:hideMark/>
          </w:tcPr>
          <w:p w14:paraId="6E430AC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2582</w:t>
            </w:r>
          </w:p>
        </w:tc>
        <w:tc>
          <w:tcPr>
            <w:tcW w:w="1480" w:type="dxa"/>
            <w:tcBorders>
              <w:top w:val="nil"/>
              <w:left w:val="nil"/>
              <w:bottom w:val="nil"/>
              <w:right w:val="nil"/>
            </w:tcBorders>
            <w:shd w:val="clear" w:color="auto" w:fill="auto"/>
            <w:noWrap/>
            <w:vAlign w:val="bottom"/>
            <w:hideMark/>
          </w:tcPr>
          <w:p w14:paraId="1D027FF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7580</w:t>
            </w:r>
          </w:p>
        </w:tc>
        <w:tc>
          <w:tcPr>
            <w:tcW w:w="1160" w:type="dxa"/>
            <w:tcBorders>
              <w:top w:val="nil"/>
              <w:left w:val="nil"/>
              <w:bottom w:val="nil"/>
              <w:right w:val="nil"/>
            </w:tcBorders>
            <w:shd w:val="clear" w:color="auto" w:fill="auto"/>
            <w:noWrap/>
            <w:vAlign w:val="bottom"/>
            <w:hideMark/>
          </w:tcPr>
          <w:p w14:paraId="03F4F032"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2940</w:t>
            </w:r>
          </w:p>
        </w:tc>
        <w:tc>
          <w:tcPr>
            <w:tcW w:w="300" w:type="dxa"/>
            <w:tcBorders>
              <w:top w:val="nil"/>
              <w:left w:val="nil"/>
              <w:bottom w:val="nil"/>
              <w:right w:val="nil"/>
            </w:tcBorders>
            <w:shd w:val="clear" w:color="auto" w:fill="auto"/>
            <w:noWrap/>
            <w:vAlign w:val="bottom"/>
            <w:hideMark/>
          </w:tcPr>
          <w:p w14:paraId="66AF5520"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6F6197D8"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2,3</w:t>
            </w:r>
          </w:p>
        </w:tc>
        <w:tc>
          <w:tcPr>
            <w:tcW w:w="560" w:type="dxa"/>
            <w:tcBorders>
              <w:top w:val="nil"/>
              <w:left w:val="nil"/>
              <w:bottom w:val="nil"/>
              <w:right w:val="nil"/>
            </w:tcBorders>
            <w:shd w:val="clear" w:color="auto" w:fill="auto"/>
            <w:noWrap/>
            <w:vAlign w:val="bottom"/>
            <w:hideMark/>
          </w:tcPr>
          <w:p w14:paraId="0E0B36E7"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0,2</w:t>
            </w:r>
          </w:p>
        </w:tc>
        <w:tc>
          <w:tcPr>
            <w:tcW w:w="260" w:type="dxa"/>
            <w:tcBorders>
              <w:top w:val="nil"/>
              <w:left w:val="nil"/>
              <w:bottom w:val="nil"/>
              <w:right w:val="nil"/>
            </w:tcBorders>
            <w:shd w:val="clear" w:color="auto" w:fill="auto"/>
            <w:noWrap/>
            <w:vAlign w:val="bottom"/>
            <w:hideMark/>
          </w:tcPr>
          <w:p w14:paraId="5F45F217"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196542B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4,5</w:t>
            </w:r>
          </w:p>
        </w:tc>
        <w:tc>
          <w:tcPr>
            <w:tcW w:w="560" w:type="dxa"/>
            <w:tcBorders>
              <w:top w:val="nil"/>
              <w:left w:val="nil"/>
              <w:bottom w:val="nil"/>
              <w:right w:val="nil"/>
            </w:tcBorders>
            <w:shd w:val="clear" w:color="auto" w:fill="auto"/>
            <w:noWrap/>
            <w:vAlign w:val="bottom"/>
            <w:hideMark/>
          </w:tcPr>
          <w:p w14:paraId="5CBCF83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0,3</w:t>
            </w:r>
          </w:p>
        </w:tc>
        <w:tc>
          <w:tcPr>
            <w:tcW w:w="280" w:type="dxa"/>
            <w:tcBorders>
              <w:top w:val="nil"/>
              <w:left w:val="nil"/>
              <w:bottom w:val="nil"/>
              <w:right w:val="nil"/>
            </w:tcBorders>
            <w:shd w:val="clear" w:color="auto" w:fill="auto"/>
            <w:noWrap/>
            <w:vAlign w:val="bottom"/>
            <w:hideMark/>
          </w:tcPr>
          <w:p w14:paraId="588C17D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117CAC71"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12,9</w:t>
            </w:r>
          </w:p>
        </w:tc>
        <w:tc>
          <w:tcPr>
            <w:tcW w:w="560" w:type="dxa"/>
            <w:tcBorders>
              <w:top w:val="nil"/>
              <w:left w:val="nil"/>
              <w:bottom w:val="nil"/>
              <w:right w:val="nil"/>
            </w:tcBorders>
            <w:shd w:val="clear" w:color="auto" w:fill="auto"/>
            <w:noWrap/>
            <w:vAlign w:val="bottom"/>
            <w:hideMark/>
          </w:tcPr>
          <w:p w14:paraId="76F02A23"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0,9</w:t>
            </w:r>
          </w:p>
        </w:tc>
      </w:tr>
      <w:tr w:rsidR="0053705E" w:rsidRPr="0053705E" w14:paraId="2FB74EE3" w14:textId="77777777" w:rsidTr="0053705E">
        <w:trPr>
          <w:trHeight w:val="300"/>
        </w:trPr>
        <w:tc>
          <w:tcPr>
            <w:tcW w:w="1380" w:type="dxa"/>
            <w:tcBorders>
              <w:top w:val="nil"/>
              <w:left w:val="nil"/>
              <w:bottom w:val="nil"/>
              <w:right w:val="nil"/>
            </w:tcBorders>
            <w:shd w:val="clear" w:color="auto" w:fill="auto"/>
            <w:noWrap/>
            <w:vAlign w:val="bottom"/>
            <w:hideMark/>
          </w:tcPr>
          <w:p w14:paraId="2D414D00" w14:textId="77777777" w:rsidR="0053705E" w:rsidRPr="0053705E" w:rsidRDefault="0053705E" w:rsidP="0053705E">
            <w:pPr>
              <w:spacing w:after="0" w:line="240" w:lineRule="auto"/>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10 mld - 100 mld</w:t>
            </w:r>
          </w:p>
        </w:tc>
        <w:tc>
          <w:tcPr>
            <w:tcW w:w="1120" w:type="dxa"/>
            <w:tcBorders>
              <w:top w:val="nil"/>
              <w:left w:val="nil"/>
              <w:bottom w:val="nil"/>
              <w:right w:val="nil"/>
            </w:tcBorders>
            <w:shd w:val="clear" w:color="auto" w:fill="auto"/>
            <w:noWrap/>
            <w:vAlign w:val="bottom"/>
            <w:hideMark/>
          </w:tcPr>
          <w:p w14:paraId="3D33BB9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159</w:t>
            </w:r>
          </w:p>
        </w:tc>
        <w:tc>
          <w:tcPr>
            <w:tcW w:w="1480" w:type="dxa"/>
            <w:tcBorders>
              <w:top w:val="nil"/>
              <w:left w:val="nil"/>
              <w:bottom w:val="nil"/>
              <w:right w:val="nil"/>
            </w:tcBorders>
            <w:shd w:val="clear" w:color="auto" w:fill="auto"/>
            <w:noWrap/>
            <w:vAlign w:val="bottom"/>
            <w:hideMark/>
          </w:tcPr>
          <w:p w14:paraId="04B13BD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4170</w:t>
            </w:r>
          </w:p>
        </w:tc>
        <w:tc>
          <w:tcPr>
            <w:tcW w:w="1160" w:type="dxa"/>
            <w:tcBorders>
              <w:top w:val="nil"/>
              <w:left w:val="nil"/>
              <w:bottom w:val="nil"/>
              <w:right w:val="nil"/>
            </w:tcBorders>
            <w:shd w:val="clear" w:color="auto" w:fill="auto"/>
            <w:noWrap/>
            <w:vAlign w:val="bottom"/>
            <w:hideMark/>
          </w:tcPr>
          <w:p w14:paraId="1E529894"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26210</w:t>
            </w:r>
          </w:p>
        </w:tc>
        <w:tc>
          <w:tcPr>
            <w:tcW w:w="300" w:type="dxa"/>
            <w:tcBorders>
              <w:top w:val="nil"/>
              <w:left w:val="nil"/>
              <w:bottom w:val="nil"/>
              <w:right w:val="nil"/>
            </w:tcBorders>
            <w:shd w:val="clear" w:color="auto" w:fill="auto"/>
            <w:noWrap/>
            <w:vAlign w:val="bottom"/>
            <w:hideMark/>
          </w:tcPr>
          <w:p w14:paraId="61B432F1"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591324D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2,8</w:t>
            </w:r>
          </w:p>
        </w:tc>
        <w:tc>
          <w:tcPr>
            <w:tcW w:w="560" w:type="dxa"/>
            <w:tcBorders>
              <w:top w:val="nil"/>
              <w:left w:val="nil"/>
              <w:bottom w:val="nil"/>
              <w:right w:val="nil"/>
            </w:tcBorders>
            <w:shd w:val="clear" w:color="auto" w:fill="auto"/>
            <w:noWrap/>
            <w:vAlign w:val="bottom"/>
            <w:hideMark/>
          </w:tcPr>
          <w:p w14:paraId="4E79050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0,1</w:t>
            </w:r>
          </w:p>
        </w:tc>
        <w:tc>
          <w:tcPr>
            <w:tcW w:w="260" w:type="dxa"/>
            <w:tcBorders>
              <w:top w:val="nil"/>
              <w:left w:val="nil"/>
              <w:bottom w:val="nil"/>
              <w:right w:val="nil"/>
            </w:tcBorders>
            <w:shd w:val="clear" w:color="auto" w:fill="auto"/>
            <w:noWrap/>
            <w:vAlign w:val="bottom"/>
            <w:hideMark/>
          </w:tcPr>
          <w:p w14:paraId="13C39F5D"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52C56BE1"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6,4</w:t>
            </w:r>
          </w:p>
        </w:tc>
        <w:tc>
          <w:tcPr>
            <w:tcW w:w="560" w:type="dxa"/>
            <w:tcBorders>
              <w:top w:val="nil"/>
              <w:left w:val="nil"/>
              <w:bottom w:val="nil"/>
              <w:right w:val="nil"/>
            </w:tcBorders>
            <w:shd w:val="clear" w:color="auto" w:fill="auto"/>
            <w:noWrap/>
            <w:vAlign w:val="bottom"/>
            <w:hideMark/>
          </w:tcPr>
          <w:p w14:paraId="7AC8804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0,3</w:t>
            </w:r>
          </w:p>
        </w:tc>
        <w:tc>
          <w:tcPr>
            <w:tcW w:w="280" w:type="dxa"/>
            <w:tcBorders>
              <w:top w:val="nil"/>
              <w:left w:val="nil"/>
              <w:bottom w:val="nil"/>
              <w:right w:val="nil"/>
            </w:tcBorders>
            <w:shd w:val="clear" w:color="auto" w:fill="auto"/>
            <w:noWrap/>
            <w:vAlign w:val="bottom"/>
            <w:hideMark/>
          </w:tcPr>
          <w:p w14:paraId="78EF5447"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1081121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40,1</w:t>
            </w:r>
          </w:p>
        </w:tc>
        <w:tc>
          <w:tcPr>
            <w:tcW w:w="560" w:type="dxa"/>
            <w:tcBorders>
              <w:top w:val="nil"/>
              <w:left w:val="nil"/>
              <w:bottom w:val="nil"/>
              <w:right w:val="nil"/>
            </w:tcBorders>
            <w:shd w:val="clear" w:color="auto" w:fill="auto"/>
            <w:noWrap/>
            <w:vAlign w:val="bottom"/>
            <w:hideMark/>
          </w:tcPr>
          <w:p w14:paraId="42A0D92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1,6</w:t>
            </w:r>
          </w:p>
        </w:tc>
      </w:tr>
      <w:tr w:rsidR="0053705E" w:rsidRPr="0053705E" w14:paraId="029BBAC7" w14:textId="77777777" w:rsidTr="0053705E">
        <w:trPr>
          <w:trHeight w:val="300"/>
        </w:trPr>
        <w:tc>
          <w:tcPr>
            <w:tcW w:w="1380" w:type="dxa"/>
            <w:tcBorders>
              <w:top w:val="nil"/>
              <w:left w:val="nil"/>
              <w:bottom w:val="nil"/>
              <w:right w:val="nil"/>
            </w:tcBorders>
            <w:shd w:val="clear" w:color="auto" w:fill="auto"/>
            <w:noWrap/>
            <w:vAlign w:val="bottom"/>
            <w:hideMark/>
          </w:tcPr>
          <w:p w14:paraId="265A2A44" w14:textId="77777777" w:rsidR="0053705E" w:rsidRPr="0053705E" w:rsidRDefault="0053705E" w:rsidP="0053705E">
            <w:pPr>
              <w:spacing w:after="0" w:line="240" w:lineRule="auto"/>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&gt; 100 mld</w:t>
            </w:r>
          </w:p>
        </w:tc>
        <w:tc>
          <w:tcPr>
            <w:tcW w:w="1120" w:type="dxa"/>
            <w:tcBorders>
              <w:top w:val="nil"/>
              <w:left w:val="nil"/>
              <w:bottom w:val="nil"/>
              <w:right w:val="nil"/>
            </w:tcBorders>
            <w:shd w:val="clear" w:color="auto" w:fill="auto"/>
            <w:noWrap/>
            <w:vAlign w:val="bottom"/>
            <w:hideMark/>
          </w:tcPr>
          <w:p w14:paraId="6C14375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9</w:t>
            </w:r>
          </w:p>
        </w:tc>
        <w:tc>
          <w:tcPr>
            <w:tcW w:w="1480" w:type="dxa"/>
            <w:tcBorders>
              <w:top w:val="nil"/>
              <w:left w:val="nil"/>
              <w:bottom w:val="nil"/>
              <w:right w:val="nil"/>
            </w:tcBorders>
            <w:shd w:val="clear" w:color="auto" w:fill="auto"/>
            <w:noWrap/>
            <w:vAlign w:val="bottom"/>
            <w:hideMark/>
          </w:tcPr>
          <w:p w14:paraId="5E9BC6C4"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1320</w:t>
            </w:r>
          </w:p>
        </w:tc>
        <w:tc>
          <w:tcPr>
            <w:tcW w:w="1160" w:type="dxa"/>
            <w:tcBorders>
              <w:top w:val="nil"/>
              <w:left w:val="nil"/>
              <w:bottom w:val="nil"/>
              <w:right w:val="nil"/>
            </w:tcBorders>
            <w:shd w:val="clear" w:color="auto" w:fill="auto"/>
            <w:noWrap/>
            <w:vAlign w:val="bottom"/>
            <w:hideMark/>
          </w:tcPr>
          <w:p w14:paraId="19253608"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146780</w:t>
            </w:r>
          </w:p>
        </w:tc>
        <w:tc>
          <w:tcPr>
            <w:tcW w:w="300" w:type="dxa"/>
            <w:tcBorders>
              <w:top w:val="nil"/>
              <w:left w:val="nil"/>
              <w:bottom w:val="nil"/>
              <w:right w:val="nil"/>
            </w:tcBorders>
            <w:shd w:val="clear" w:color="auto" w:fill="auto"/>
            <w:noWrap/>
            <w:vAlign w:val="bottom"/>
            <w:hideMark/>
          </w:tcPr>
          <w:p w14:paraId="439688CE"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10B0DA6"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3,2</w:t>
            </w:r>
          </w:p>
        </w:tc>
        <w:tc>
          <w:tcPr>
            <w:tcW w:w="560" w:type="dxa"/>
            <w:tcBorders>
              <w:top w:val="nil"/>
              <w:left w:val="nil"/>
              <w:bottom w:val="nil"/>
              <w:right w:val="nil"/>
            </w:tcBorders>
            <w:shd w:val="clear" w:color="auto" w:fill="auto"/>
            <w:noWrap/>
            <w:vAlign w:val="bottom"/>
            <w:hideMark/>
          </w:tcPr>
          <w:p w14:paraId="20173F5F"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0,04</w:t>
            </w:r>
          </w:p>
        </w:tc>
        <w:tc>
          <w:tcPr>
            <w:tcW w:w="260" w:type="dxa"/>
            <w:tcBorders>
              <w:top w:val="nil"/>
              <w:left w:val="nil"/>
              <w:bottom w:val="nil"/>
              <w:right w:val="nil"/>
            </w:tcBorders>
            <w:shd w:val="clear" w:color="auto" w:fill="auto"/>
            <w:noWrap/>
            <w:vAlign w:val="bottom"/>
            <w:hideMark/>
          </w:tcPr>
          <w:p w14:paraId="36E6DD7B"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51CB7EFA"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8,3</w:t>
            </w:r>
          </w:p>
        </w:tc>
        <w:tc>
          <w:tcPr>
            <w:tcW w:w="560" w:type="dxa"/>
            <w:tcBorders>
              <w:top w:val="nil"/>
              <w:left w:val="nil"/>
              <w:bottom w:val="nil"/>
              <w:right w:val="nil"/>
            </w:tcBorders>
            <w:shd w:val="clear" w:color="auto" w:fill="auto"/>
            <w:noWrap/>
            <w:vAlign w:val="bottom"/>
            <w:hideMark/>
          </w:tcPr>
          <w:p w14:paraId="06D32353"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0,1</w:t>
            </w:r>
          </w:p>
        </w:tc>
        <w:tc>
          <w:tcPr>
            <w:tcW w:w="280" w:type="dxa"/>
            <w:tcBorders>
              <w:top w:val="nil"/>
              <w:left w:val="nil"/>
              <w:bottom w:val="nil"/>
              <w:right w:val="nil"/>
            </w:tcBorders>
            <w:shd w:val="clear" w:color="auto" w:fill="auto"/>
            <w:noWrap/>
            <w:vAlign w:val="bottom"/>
            <w:hideMark/>
          </w:tcPr>
          <w:p w14:paraId="6CFEED35"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ADF0417"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66,6</w:t>
            </w:r>
          </w:p>
        </w:tc>
        <w:tc>
          <w:tcPr>
            <w:tcW w:w="560" w:type="dxa"/>
            <w:tcBorders>
              <w:top w:val="nil"/>
              <w:left w:val="nil"/>
              <w:bottom w:val="nil"/>
              <w:right w:val="nil"/>
            </w:tcBorders>
            <w:shd w:val="clear" w:color="auto" w:fill="auto"/>
            <w:noWrap/>
            <w:vAlign w:val="bottom"/>
            <w:hideMark/>
          </w:tcPr>
          <w:p w14:paraId="28ACA752" w14:textId="77777777" w:rsidR="0053705E" w:rsidRPr="0053705E" w:rsidRDefault="0053705E" w:rsidP="0053705E">
            <w:pPr>
              <w:spacing w:after="0" w:line="240" w:lineRule="auto"/>
              <w:jc w:val="right"/>
              <w:rPr>
                <w:rFonts w:ascii="Calibri" w:eastAsia="Times New Roman" w:hAnsi="Calibri" w:cs="Calibri"/>
                <w:color w:val="000000"/>
                <w:sz w:val="16"/>
                <w:szCs w:val="16"/>
                <w:lang w:eastAsia="it-IT"/>
              </w:rPr>
            </w:pPr>
            <w:r w:rsidRPr="0053705E">
              <w:rPr>
                <w:rFonts w:ascii="Calibri" w:eastAsia="Times New Roman" w:hAnsi="Calibri" w:cs="Calibri"/>
                <w:color w:val="000000"/>
                <w:sz w:val="16"/>
                <w:szCs w:val="16"/>
                <w:lang w:eastAsia="it-IT"/>
              </w:rPr>
              <w:t>0,9</w:t>
            </w:r>
          </w:p>
        </w:tc>
      </w:tr>
    </w:tbl>
    <w:p w14:paraId="6D2086D9" w14:textId="45863D5C" w:rsidR="0073688E" w:rsidRDefault="0073688E" w:rsidP="0073688E">
      <w:pPr>
        <w:pStyle w:val="Paragrafoelenco"/>
        <w:ind w:left="1080"/>
      </w:pPr>
    </w:p>
    <w:p w14:paraId="49ECD33B" w14:textId="1ACBD4CB" w:rsidR="0073688E" w:rsidRDefault="00D84B4D" w:rsidP="008E075B">
      <w:pPr>
        <w:ind w:left="1416"/>
      </w:pPr>
      <w:r>
        <w:t xml:space="preserve">Dalla tabella si ricava </w:t>
      </w:r>
      <w:r w:rsidR="00122250">
        <w:t>che gli</w:t>
      </w:r>
      <w:r>
        <w:t xml:space="preserve"> individui che</w:t>
      </w:r>
      <w:r w:rsidR="00122250">
        <w:t xml:space="preserve"> possiedono un patrimonio superiore a 1 milione di dollari USA (USD) sono poco più di 62 milioni, cioè poco più dell’1,2%</w:t>
      </w:r>
      <w:r w:rsidR="0018135D">
        <w:t xml:space="preserve"> della popolazione mondiale e complessivamente detengono un patrimonio di 174200 miliardi di </w:t>
      </w:r>
      <w:r w:rsidR="00122250">
        <w:t xml:space="preserve">USD; invece i miliardari sono soltanto 2750 </w:t>
      </w:r>
      <w:r w:rsidR="00122250">
        <w:t>e detengono 13070 miliardi di USD</w:t>
      </w:r>
      <w:r w:rsidR="00122250">
        <w:t xml:space="preserve">: quindi </w:t>
      </w:r>
      <w:r w:rsidR="0018135D">
        <w:t>i miliardari rappresentano solo lo 0,004% di chi possiede più di 1 milione ma detengono il 7,5% della ricchezza totale di tutti i milionari.</w:t>
      </w:r>
    </w:p>
    <w:p w14:paraId="7A40961D" w14:textId="00260A03" w:rsidR="0018135D" w:rsidRDefault="0018135D" w:rsidP="008E075B">
      <w:pPr>
        <w:ind w:left="1416"/>
      </w:pPr>
      <w:r>
        <w:t>Se restringiamo il nostro sguardo all’Europa (Russia esclusa) abbiamo i dati seguenti, sempre riferiti all’anno 2021:</w:t>
      </w:r>
    </w:p>
    <w:tbl>
      <w:tblPr>
        <w:tblW w:w="9700" w:type="dxa"/>
        <w:tblCellMar>
          <w:left w:w="70" w:type="dxa"/>
          <w:right w:w="70" w:type="dxa"/>
        </w:tblCellMar>
        <w:tblLook w:val="04A0" w:firstRow="1" w:lastRow="0" w:firstColumn="1" w:lastColumn="0" w:noHBand="0" w:noVBand="1"/>
      </w:tblPr>
      <w:tblGrid>
        <w:gridCol w:w="1380"/>
        <w:gridCol w:w="1120"/>
        <w:gridCol w:w="1480"/>
        <w:gridCol w:w="1160"/>
        <w:gridCol w:w="300"/>
        <w:gridCol w:w="699"/>
        <w:gridCol w:w="560"/>
        <w:gridCol w:w="260"/>
        <w:gridCol w:w="699"/>
        <w:gridCol w:w="560"/>
        <w:gridCol w:w="280"/>
        <w:gridCol w:w="699"/>
        <w:gridCol w:w="560"/>
      </w:tblGrid>
      <w:tr w:rsidR="0018135D" w:rsidRPr="0018135D" w14:paraId="3F1391A4" w14:textId="77777777" w:rsidTr="0018135D">
        <w:trPr>
          <w:trHeight w:val="300"/>
        </w:trPr>
        <w:tc>
          <w:tcPr>
            <w:tcW w:w="1380" w:type="dxa"/>
            <w:tcBorders>
              <w:top w:val="nil"/>
              <w:left w:val="nil"/>
              <w:bottom w:val="nil"/>
              <w:right w:val="nil"/>
            </w:tcBorders>
            <w:shd w:val="clear" w:color="auto" w:fill="auto"/>
            <w:noWrap/>
            <w:vAlign w:val="bottom"/>
            <w:hideMark/>
          </w:tcPr>
          <w:p w14:paraId="3585D675"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intervallo </w:t>
            </w:r>
          </w:p>
        </w:tc>
        <w:tc>
          <w:tcPr>
            <w:tcW w:w="1120" w:type="dxa"/>
            <w:tcBorders>
              <w:top w:val="nil"/>
              <w:left w:val="nil"/>
              <w:bottom w:val="nil"/>
              <w:right w:val="nil"/>
            </w:tcBorders>
            <w:shd w:val="clear" w:color="auto" w:fill="auto"/>
            <w:noWrap/>
            <w:vAlign w:val="bottom"/>
            <w:hideMark/>
          </w:tcPr>
          <w:p w14:paraId="6A8107FD"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numero </w:t>
            </w:r>
          </w:p>
        </w:tc>
        <w:tc>
          <w:tcPr>
            <w:tcW w:w="1480" w:type="dxa"/>
            <w:tcBorders>
              <w:top w:val="nil"/>
              <w:left w:val="nil"/>
              <w:bottom w:val="nil"/>
              <w:right w:val="nil"/>
            </w:tcBorders>
            <w:shd w:val="clear" w:color="auto" w:fill="auto"/>
            <w:noWrap/>
            <w:vAlign w:val="bottom"/>
            <w:hideMark/>
          </w:tcPr>
          <w:p w14:paraId="731C6BAB"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ricchezza totale </w:t>
            </w:r>
          </w:p>
        </w:tc>
        <w:tc>
          <w:tcPr>
            <w:tcW w:w="1160" w:type="dxa"/>
            <w:tcBorders>
              <w:top w:val="nil"/>
              <w:left w:val="nil"/>
              <w:bottom w:val="nil"/>
              <w:right w:val="nil"/>
            </w:tcBorders>
            <w:shd w:val="clear" w:color="auto" w:fill="auto"/>
            <w:noWrap/>
            <w:vAlign w:val="bottom"/>
            <w:hideMark/>
          </w:tcPr>
          <w:p w14:paraId="245B7B81"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ricchezza</w:t>
            </w:r>
          </w:p>
        </w:tc>
        <w:tc>
          <w:tcPr>
            <w:tcW w:w="300" w:type="dxa"/>
            <w:tcBorders>
              <w:top w:val="nil"/>
              <w:left w:val="nil"/>
              <w:bottom w:val="nil"/>
              <w:right w:val="nil"/>
            </w:tcBorders>
            <w:shd w:val="clear" w:color="auto" w:fill="auto"/>
            <w:noWrap/>
            <w:vAlign w:val="bottom"/>
            <w:hideMark/>
          </w:tcPr>
          <w:p w14:paraId="649DCB6B"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 </w:t>
            </w:r>
          </w:p>
        </w:tc>
        <w:tc>
          <w:tcPr>
            <w:tcW w:w="680" w:type="dxa"/>
            <w:tcBorders>
              <w:top w:val="nil"/>
              <w:left w:val="nil"/>
              <w:bottom w:val="nil"/>
              <w:right w:val="nil"/>
            </w:tcBorders>
            <w:shd w:val="clear" w:color="auto" w:fill="auto"/>
            <w:noWrap/>
            <w:vAlign w:val="bottom"/>
            <w:hideMark/>
          </w:tcPr>
          <w:p w14:paraId="1491B39F"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    scenario 1</w:t>
            </w:r>
          </w:p>
        </w:tc>
        <w:tc>
          <w:tcPr>
            <w:tcW w:w="560" w:type="dxa"/>
            <w:tcBorders>
              <w:top w:val="nil"/>
              <w:left w:val="nil"/>
              <w:bottom w:val="nil"/>
              <w:right w:val="nil"/>
            </w:tcBorders>
            <w:shd w:val="clear" w:color="auto" w:fill="auto"/>
            <w:noWrap/>
            <w:vAlign w:val="bottom"/>
            <w:hideMark/>
          </w:tcPr>
          <w:p w14:paraId="34A495E2"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p>
        </w:tc>
        <w:tc>
          <w:tcPr>
            <w:tcW w:w="260" w:type="dxa"/>
            <w:tcBorders>
              <w:top w:val="nil"/>
              <w:left w:val="nil"/>
              <w:bottom w:val="nil"/>
              <w:right w:val="nil"/>
            </w:tcBorders>
            <w:shd w:val="clear" w:color="auto" w:fill="auto"/>
            <w:noWrap/>
            <w:vAlign w:val="bottom"/>
            <w:hideMark/>
          </w:tcPr>
          <w:p w14:paraId="2916BEA4" w14:textId="77777777" w:rsidR="0018135D" w:rsidRPr="0018135D" w:rsidRDefault="0018135D" w:rsidP="0018135D">
            <w:pPr>
              <w:spacing w:after="0" w:line="240" w:lineRule="auto"/>
              <w:jc w:val="center"/>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689C749D"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scenario 2</w:t>
            </w:r>
          </w:p>
        </w:tc>
        <w:tc>
          <w:tcPr>
            <w:tcW w:w="560" w:type="dxa"/>
            <w:tcBorders>
              <w:top w:val="nil"/>
              <w:left w:val="nil"/>
              <w:bottom w:val="nil"/>
              <w:right w:val="nil"/>
            </w:tcBorders>
            <w:shd w:val="clear" w:color="auto" w:fill="auto"/>
            <w:noWrap/>
            <w:vAlign w:val="bottom"/>
            <w:hideMark/>
          </w:tcPr>
          <w:p w14:paraId="55329F79"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p>
        </w:tc>
        <w:tc>
          <w:tcPr>
            <w:tcW w:w="280" w:type="dxa"/>
            <w:tcBorders>
              <w:top w:val="nil"/>
              <w:left w:val="nil"/>
              <w:bottom w:val="nil"/>
              <w:right w:val="nil"/>
            </w:tcBorders>
            <w:shd w:val="clear" w:color="auto" w:fill="auto"/>
            <w:noWrap/>
            <w:vAlign w:val="bottom"/>
            <w:hideMark/>
          </w:tcPr>
          <w:p w14:paraId="121CC924" w14:textId="77777777" w:rsidR="0018135D" w:rsidRPr="0018135D" w:rsidRDefault="0018135D" w:rsidP="0018135D">
            <w:pPr>
              <w:spacing w:after="0" w:line="240" w:lineRule="auto"/>
              <w:jc w:val="center"/>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755D17EE"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scenario 3</w:t>
            </w:r>
          </w:p>
        </w:tc>
        <w:tc>
          <w:tcPr>
            <w:tcW w:w="560" w:type="dxa"/>
            <w:tcBorders>
              <w:top w:val="nil"/>
              <w:left w:val="nil"/>
              <w:bottom w:val="nil"/>
              <w:right w:val="nil"/>
            </w:tcBorders>
            <w:shd w:val="clear" w:color="auto" w:fill="auto"/>
            <w:noWrap/>
            <w:vAlign w:val="bottom"/>
            <w:hideMark/>
          </w:tcPr>
          <w:p w14:paraId="0F6C0BF6"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p>
        </w:tc>
      </w:tr>
      <w:tr w:rsidR="0018135D" w:rsidRPr="0018135D" w14:paraId="0F98B2E8" w14:textId="77777777" w:rsidTr="0018135D">
        <w:trPr>
          <w:trHeight w:val="300"/>
        </w:trPr>
        <w:tc>
          <w:tcPr>
            <w:tcW w:w="1380" w:type="dxa"/>
            <w:tcBorders>
              <w:top w:val="nil"/>
              <w:left w:val="nil"/>
              <w:bottom w:val="nil"/>
              <w:right w:val="nil"/>
            </w:tcBorders>
            <w:shd w:val="clear" w:color="auto" w:fill="auto"/>
            <w:noWrap/>
            <w:vAlign w:val="bottom"/>
            <w:hideMark/>
          </w:tcPr>
          <w:p w14:paraId="6CC72009"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di ricchezza</w:t>
            </w:r>
          </w:p>
        </w:tc>
        <w:tc>
          <w:tcPr>
            <w:tcW w:w="1120" w:type="dxa"/>
            <w:tcBorders>
              <w:top w:val="nil"/>
              <w:left w:val="nil"/>
              <w:bottom w:val="nil"/>
              <w:right w:val="nil"/>
            </w:tcBorders>
            <w:shd w:val="clear" w:color="auto" w:fill="auto"/>
            <w:noWrap/>
            <w:vAlign w:val="bottom"/>
            <w:hideMark/>
          </w:tcPr>
          <w:p w14:paraId="2E24E2D8"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di adulti</w:t>
            </w:r>
          </w:p>
        </w:tc>
        <w:tc>
          <w:tcPr>
            <w:tcW w:w="1480" w:type="dxa"/>
            <w:tcBorders>
              <w:top w:val="nil"/>
              <w:left w:val="nil"/>
              <w:bottom w:val="nil"/>
              <w:right w:val="nil"/>
            </w:tcBorders>
            <w:shd w:val="clear" w:color="auto" w:fill="auto"/>
            <w:noWrap/>
            <w:vAlign w:val="bottom"/>
            <w:hideMark/>
          </w:tcPr>
          <w:p w14:paraId="581F4FC2"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totale ($ mld)</w:t>
            </w:r>
          </w:p>
        </w:tc>
        <w:tc>
          <w:tcPr>
            <w:tcW w:w="1160" w:type="dxa"/>
            <w:tcBorders>
              <w:top w:val="nil"/>
              <w:left w:val="nil"/>
              <w:bottom w:val="nil"/>
              <w:right w:val="nil"/>
            </w:tcBorders>
            <w:shd w:val="clear" w:color="auto" w:fill="auto"/>
            <w:noWrap/>
            <w:vAlign w:val="bottom"/>
            <w:hideMark/>
          </w:tcPr>
          <w:p w14:paraId="4443B6C5"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media ($ mln)</w:t>
            </w:r>
          </w:p>
        </w:tc>
        <w:tc>
          <w:tcPr>
            <w:tcW w:w="300" w:type="dxa"/>
            <w:tcBorders>
              <w:top w:val="nil"/>
              <w:left w:val="nil"/>
              <w:bottom w:val="nil"/>
              <w:right w:val="nil"/>
            </w:tcBorders>
            <w:shd w:val="clear" w:color="auto" w:fill="auto"/>
            <w:noWrap/>
            <w:vAlign w:val="bottom"/>
            <w:hideMark/>
          </w:tcPr>
          <w:p w14:paraId="74C76F9E"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2211E840"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aliquota</w:t>
            </w:r>
          </w:p>
        </w:tc>
        <w:tc>
          <w:tcPr>
            <w:tcW w:w="560" w:type="dxa"/>
            <w:tcBorders>
              <w:top w:val="nil"/>
              <w:left w:val="nil"/>
              <w:bottom w:val="nil"/>
              <w:right w:val="nil"/>
            </w:tcBorders>
            <w:shd w:val="clear" w:color="auto" w:fill="auto"/>
            <w:noWrap/>
            <w:vAlign w:val="bottom"/>
            <w:hideMark/>
          </w:tcPr>
          <w:p w14:paraId="2407AFCD"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ricavo </w:t>
            </w:r>
          </w:p>
        </w:tc>
        <w:tc>
          <w:tcPr>
            <w:tcW w:w="260" w:type="dxa"/>
            <w:tcBorders>
              <w:top w:val="nil"/>
              <w:left w:val="nil"/>
              <w:bottom w:val="nil"/>
              <w:right w:val="nil"/>
            </w:tcBorders>
            <w:shd w:val="clear" w:color="auto" w:fill="auto"/>
            <w:noWrap/>
            <w:vAlign w:val="bottom"/>
            <w:hideMark/>
          </w:tcPr>
          <w:p w14:paraId="55F00910"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498907D"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aliquota</w:t>
            </w:r>
          </w:p>
        </w:tc>
        <w:tc>
          <w:tcPr>
            <w:tcW w:w="560" w:type="dxa"/>
            <w:tcBorders>
              <w:top w:val="nil"/>
              <w:left w:val="nil"/>
              <w:bottom w:val="nil"/>
              <w:right w:val="nil"/>
            </w:tcBorders>
            <w:shd w:val="clear" w:color="auto" w:fill="auto"/>
            <w:noWrap/>
            <w:vAlign w:val="bottom"/>
            <w:hideMark/>
          </w:tcPr>
          <w:p w14:paraId="1BEBF7E9"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ricavo </w:t>
            </w:r>
          </w:p>
        </w:tc>
        <w:tc>
          <w:tcPr>
            <w:tcW w:w="280" w:type="dxa"/>
            <w:tcBorders>
              <w:top w:val="nil"/>
              <w:left w:val="nil"/>
              <w:bottom w:val="nil"/>
              <w:right w:val="nil"/>
            </w:tcBorders>
            <w:shd w:val="clear" w:color="auto" w:fill="auto"/>
            <w:noWrap/>
            <w:vAlign w:val="bottom"/>
            <w:hideMark/>
          </w:tcPr>
          <w:p w14:paraId="469259B8"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788CAE5"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aliquota</w:t>
            </w:r>
          </w:p>
        </w:tc>
        <w:tc>
          <w:tcPr>
            <w:tcW w:w="560" w:type="dxa"/>
            <w:tcBorders>
              <w:top w:val="nil"/>
              <w:left w:val="nil"/>
              <w:bottom w:val="nil"/>
              <w:right w:val="nil"/>
            </w:tcBorders>
            <w:shd w:val="clear" w:color="auto" w:fill="auto"/>
            <w:noWrap/>
            <w:vAlign w:val="bottom"/>
            <w:hideMark/>
          </w:tcPr>
          <w:p w14:paraId="55DCB857"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r w:rsidRPr="0018135D">
              <w:rPr>
                <w:rFonts w:ascii="Calibri" w:eastAsia="Times New Roman" w:hAnsi="Calibri" w:cs="Calibri"/>
                <w:b/>
                <w:bCs/>
                <w:color w:val="000000"/>
                <w:sz w:val="16"/>
                <w:szCs w:val="16"/>
                <w:lang w:eastAsia="it-IT"/>
              </w:rPr>
              <w:t xml:space="preserve">ricavo </w:t>
            </w:r>
          </w:p>
        </w:tc>
      </w:tr>
      <w:tr w:rsidR="0018135D" w:rsidRPr="0018135D" w14:paraId="4715E519" w14:textId="77777777" w:rsidTr="0018135D">
        <w:trPr>
          <w:trHeight w:val="300"/>
        </w:trPr>
        <w:tc>
          <w:tcPr>
            <w:tcW w:w="1380" w:type="dxa"/>
            <w:tcBorders>
              <w:top w:val="nil"/>
              <w:left w:val="nil"/>
              <w:bottom w:val="nil"/>
              <w:right w:val="nil"/>
            </w:tcBorders>
            <w:shd w:val="clear" w:color="auto" w:fill="auto"/>
            <w:noWrap/>
            <w:vAlign w:val="bottom"/>
            <w:hideMark/>
          </w:tcPr>
          <w:p w14:paraId="701424D4" w14:textId="77777777" w:rsidR="0018135D" w:rsidRPr="0018135D" w:rsidRDefault="0018135D" w:rsidP="0018135D">
            <w:pPr>
              <w:spacing w:after="0" w:line="240" w:lineRule="auto"/>
              <w:jc w:val="center"/>
              <w:rPr>
                <w:rFonts w:ascii="Calibri" w:eastAsia="Times New Roman" w:hAnsi="Calibri" w:cs="Calibri"/>
                <w:b/>
                <w:bCs/>
                <w:color w:val="000000"/>
                <w:sz w:val="16"/>
                <w:szCs w:val="16"/>
                <w:lang w:eastAsia="it-IT"/>
              </w:rPr>
            </w:pPr>
          </w:p>
        </w:tc>
        <w:tc>
          <w:tcPr>
            <w:tcW w:w="1120" w:type="dxa"/>
            <w:tcBorders>
              <w:top w:val="nil"/>
              <w:left w:val="nil"/>
              <w:bottom w:val="nil"/>
              <w:right w:val="nil"/>
            </w:tcBorders>
            <w:shd w:val="clear" w:color="auto" w:fill="auto"/>
            <w:noWrap/>
            <w:vAlign w:val="bottom"/>
            <w:hideMark/>
          </w:tcPr>
          <w:p w14:paraId="4FD5BBD8"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1480" w:type="dxa"/>
            <w:tcBorders>
              <w:top w:val="nil"/>
              <w:left w:val="nil"/>
              <w:bottom w:val="nil"/>
              <w:right w:val="nil"/>
            </w:tcBorders>
            <w:shd w:val="clear" w:color="auto" w:fill="auto"/>
            <w:noWrap/>
            <w:vAlign w:val="bottom"/>
            <w:hideMark/>
          </w:tcPr>
          <w:p w14:paraId="55943DC9"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1160" w:type="dxa"/>
            <w:tcBorders>
              <w:top w:val="nil"/>
              <w:left w:val="nil"/>
              <w:bottom w:val="nil"/>
              <w:right w:val="nil"/>
            </w:tcBorders>
            <w:shd w:val="clear" w:color="auto" w:fill="auto"/>
            <w:noWrap/>
            <w:vAlign w:val="bottom"/>
            <w:hideMark/>
          </w:tcPr>
          <w:p w14:paraId="33132C93"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300" w:type="dxa"/>
            <w:tcBorders>
              <w:top w:val="nil"/>
              <w:left w:val="nil"/>
              <w:bottom w:val="nil"/>
              <w:right w:val="nil"/>
            </w:tcBorders>
            <w:shd w:val="clear" w:color="auto" w:fill="auto"/>
            <w:noWrap/>
            <w:vAlign w:val="bottom"/>
            <w:hideMark/>
          </w:tcPr>
          <w:p w14:paraId="01A1D41B"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3852B4F9"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560" w:type="dxa"/>
            <w:tcBorders>
              <w:top w:val="nil"/>
              <w:left w:val="nil"/>
              <w:bottom w:val="nil"/>
              <w:right w:val="nil"/>
            </w:tcBorders>
            <w:shd w:val="clear" w:color="auto" w:fill="auto"/>
            <w:noWrap/>
            <w:vAlign w:val="bottom"/>
            <w:hideMark/>
          </w:tcPr>
          <w:p w14:paraId="57F591E5"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260" w:type="dxa"/>
            <w:tcBorders>
              <w:top w:val="nil"/>
              <w:left w:val="nil"/>
              <w:bottom w:val="nil"/>
              <w:right w:val="nil"/>
            </w:tcBorders>
            <w:shd w:val="clear" w:color="auto" w:fill="auto"/>
            <w:noWrap/>
            <w:vAlign w:val="bottom"/>
            <w:hideMark/>
          </w:tcPr>
          <w:p w14:paraId="02EAD08B"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054F0984"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560" w:type="dxa"/>
            <w:tcBorders>
              <w:top w:val="nil"/>
              <w:left w:val="nil"/>
              <w:bottom w:val="nil"/>
              <w:right w:val="nil"/>
            </w:tcBorders>
            <w:shd w:val="clear" w:color="auto" w:fill="auto"/>
            <w:noWrap/>
            <w:vAlign w:val="bottom"/>
            <w:hideMark/>
          </w:tcPr>
          <w:p w14:paraId="442CB617"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280" w:type="dxa"/>
            <w:tcBorders>
              <w:top w:val="nil"/>
              <w:left w:val="nil"/>
              <w:bottom w:val="nil"/>
              <w:right w:val="nil"/>
            </w:tcBorders>
            <w:shd w:val="clear" w:color="auto" w:fill="auto"/>
            <w:noWrap/>
            <w:vAlign w:val="bottom"/>
            <w:hideMark/>
          </w:tcPr>
          <w:p w14:paraId="0252767A"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680" w:type="dxa"/>
            <w:tcBorders>
              <w:top w:val="nil"/>
              <w:left w:val="nil"/>
              <w:bottom w:val="nil"/>
              <w:right w:val="nil"/>
            </w:tcBorders>
            <w:shd w:val="clear" w:color="auto" w:fill="auto"/>
            <w:noWrap/>
            <w:vAlign w:val="bottom"/>
            <w:hideMark/>
          </w:tcPr>
          <w:p w14:paraId="3097E09E"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c>
          <w:tcPr>
            <w:tcW w:w="560" w:type="dxa"/>
            <w:tcBorders>
              <w:top w:val="nil"/>
              <w:left w:val="nil"/>
              <w:bottom w:val="nil"/>
              <w:right w:val="nil"/>
            </w:tcBorders>
            <w:shd w:val="clear" w:color="auto" w:fill="auto"/>
            <w:noWrap/>
            <w:vAlign w:val="bottom"/>
            <w:hideMark/>
          </w:tcPr>
          <w:p w14:paraId="4D90CD04" w14:textId="77777777" w:rsidR="0018135D" w:rsidRPr="0018135D" w:rsidRDefault="0018135D" w:rsidP="0018135D">
            <w:pPr>
              <w:spacing w:after="0" w:line="240" w:lineRule="auto"/>
              <w:rPr>
                <w:rFonts w:ascii="Times New Roman" w:eastAsia="Times New Roman" w:hAnsi="Times New Roman" w:cs="Times New Roman"/>
                <w:sz w:val="20"/>
                <w:szCs w:val="20"/>
                <w:lang w:eastAsia="it-IT"/>
              </w:rPr>
            </w:pPr>
          </w:p>
        </w:tc>
      </w:tr>
      <w:tr w:rsidR="0018135D" w:rsidRPr="0018135D" w14:paraId="04099372" w14:textId="77777777" w:rsidTr="0018135D">
        <w:trPr>
          <w:trHeight w:val="300"/>
        </w:trPr>
        <w:tc>
          <w:tcPr>
            <w:tcW w:w="1380" w:type="dxa"/>
            <w:tcBorders>
              <w:top w:val="nil"/>
              <w:left w:val="nil"/>
              <w:bottom w:val="nil"/>
              <w:right w:val="nil"/>
            </w:tcBorders>
            <w:shd w:val="clear" w:color="auto" w:fill="auto"/>
            <w:noWrap/>
            <w:vAlign w:val="bottom"/>
            <w:hideMark/>
          </w:tcPr>
          <w:p w14:paraId="2E02D756" w14:textId="77777777" w:rsidR="0018135D" w:rsidRPr="0018135D" w:rsidRDefault="0018135D" w:rsidP="0018135D">
            <w:pPr>
              <w:spacing w:after="0" w:line="240" w:lineRule="auto"/>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tutti &gt; 1 mln</w:t>
            </w:r>
          </w:p>
        </w:tc>
        <w:tc>
          <w:tcPr>
            <w:tcW w:w="1120" w:type="dxa"/>
            <w:tcBorders>
              <w:top w:val="nil"/>
              <w:left w:val="nil"/>
              <w:bottom w:val="nil"/>
              <w:right w:val="nil"/>
            </w:tcBorders>
            <w:shd w:val="clear" w:color="auto" w:fill="auto"/>
            <w:noWrap/>
            <w:vAlign w:val="bottom"/>
            <w:hideMark/>
          </w:tcPr>
          <w:p w14:paraId="3E0BBD4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16040560</w:t>
            </w:r>
          </w:p>
        </w:tc>
        <w:tc>
          <w:tcPr>
            <w:tcW w:w="1480" w:type="dxa"/>
            <w:tcBorders>
              <w:top w:val="nil"/>
              <w:left w:val="nil"/>
              <w:bottom w:val="nil"/>
              <w:right w:val="nil"/>
            </w:tcBorders>
            <w:shd w:val="clear" w:color="auto" w:fill="auto"/>
            <w:noWrap/>
            <w:vAlign w:val="bottom"/>
            <w:hideMark/>
          </w:tcPr>
          <w:p w14:paraId="63685D99"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38325</w:t>
            </w:r>
          </w:p>
        </w:tc>
        <w:tc>
          <w:tcPr>
            <w:tcW w:w="1160" w:type="dxa"/>
            <w:tcBorders>
              <w:top w:val="nil"/>
              <w:left w:val="nil"/>
              <w:bottom w:val="nil"/>
              <w:right w:val="nil"/>
            </w:tcBorders>
            <w:shd w:val="clear" w:color="auto" w:fill="auto"/>
            <w:noWrap/>
            <w:vAlign w:val="bottom"/>
            <w:hideMark/>
          </w:tcPr>
          <w:p w14:paraId="35DBA18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w:t>
            </w:r>
          </w:p>
        </w:tc>
        <w:tc>
          <w:tcPr>
            <w:tcW w:w="300" w:type="dxa"/>
            <w:tcBorders>
              <w:top w:val="nil"/>
              <w:left w:val="nil"/>
              <w:bottom w:val="nil"/>
              <w:right w:val="nil"/>
            </w:tcBorders>
            <w:shd w:val="clear" w:color="auto" w:fill="auto"/>
            <w:noWrap/>
            <w:vAlign w:val="bottom"/>
            <w:hideMark/>
          </w:tcPr>
          <w:p w14:paraId="45CFB36B"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C22FCBE"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0,9</w:t>
            </w:r>
          </w:p>
        </w:tc>
        <w:tc>
          <w:tcPr>
            <w:tcW w:w="560" w:type="dxa"/>
            <w:tcBorders>
              <w:top w:val="nil"/>
              <w:left w:val="nil"/>
              <w:bottom w:val="nil"/>
              <w:right w:val="nil"/>
            </w:tcBorders>
            <w:shd w:val="clear" w:color="auto" w:fill="auto"/>
            <w:noWrap/>
            <w:vAlign w:val="bottom"/>
            <w:hideMark/>
          </w:tcPr>
          <w:p w14:paraId="7546DBF0"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1,5</w:t>
            </w:r>
          </w:p>
        </w:tc>
        <w:tc>
          <w:tcPr>
            <w:tcW w:w="260" w:type="dxa"/>
            <w:tcBorders>
              <w:top w:val="nil"/>
              <w:left w:val="nil"/>
              <w:bottom w:val="nil"/>
              <w:right w:val="nil"/>
            </w:tcBorders>
            <w:shd w:val="clear" w:color="auto" w:fill="auto"/>
            <w:noWrap/>
            <w:vAlign w:val="bottom"/>
            <w:hideMark/>
          </w:tcPr>
          <w:p w14:paraId="3A707B00"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82B8FBC"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1,1</w:t>
            </w:r>
          </w:p>
        </w:tc>
        <w:tc>
          <w:tcPr>
            <w:tcW w:w="560" w:type="dxa"/>
            <w:tcBorders>
              <w:top w:val="nil"/>
              <w:left w:val="nil"/>
              <w:bottom w:val="nil"/>
              <w:right w:val="nil"/>
            </w:tcBorders>
            <w:shd w:val="clear" w:color="auto" w:fill="auto"/>
            <w:noWrap/>
            <w:vAlign w:val="bottom"/>
            <w:hideMark/>
          </w:tcPr>
          <w:p w14:paraId="0A35E5E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1,8</w:t>
            </w:r>
          </w:p>
        </w:tc>
        <w:tc>
          <w:tcPr>
            <w:tcW w:w="280" w:type="dxa"/>
            <w:tcBorders>
              <w:top w:val="nil"/>
              <w:left w:val="nil"/>
              <w:bottom w:val="nil"/>
              <w:right w:val="nil"/>
            </w:tcBorders>
            <w:shd w:val="clear" w:color="auto" w:fill="auto"/>
            <w:noWrap/>
            <w:vAlign w:val="bottom"/>
            <w:hideMark/>
          </w:tcPr>
          <w:p w14:paraId="50C0C69F"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E90B275"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2,4</w:t>
            </w:r>
          </w:p>
        </w:tc>
        <w:tc>
          <w:tcPr>
            <w:tcW w:w="560" w:type="dxa"/>
            <w:tcBorders>
              <w:top w:val="nil"/>
              <w:left w:val="nil"/>
              <w:bottom w:val="nil"/>
              <w:right w:val="nil"/>
            </w:tcBorders>
            <w:shd w:val="clear" w:color="auto" w:fill="auto"/>
            <w:noWrap/>
            <w:vAlign w:val="bottom"/>
            <w:hideMark/>
          </w:tcPr>
          <w:p w14:paraId="601AED2C"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4,1</w:t>
            </w:r>
          </w:p>
        </w:tc>
      </w:tr>
      <w:tr w:rsidR="0018135D" w:rsidRPr="0018135D" w14:paraId="07401DAD" w14:textId="77777777" w:rsidTr="0018135D">
        <w:trPr>
          <w:trHeight w:val="300"/>
        </w:trPr>
        <w:tc>
          <w:tcPr>
            <w:tcW w:w="1380" w:type="dxa"/>
            <w:tcBorders>
              <w:top w:val="nil"/>
              <w:left w:val="nil"/>
              <w:bottom w:val="nil"/>
              <w:right w:val="nil"/>
            </w:tcBorders>
            <w:shd w:val="clear" w:color="auto" w:fill="auto"/>
            <w:noWrap/>
            <w:vAlign w:val="bottom"/>
            <w:hideMark/>
          </w:tcPr>
          <w:p w14:paraId="7E6A2373" w14:textId="77777777" w:rsidR="0018135D" w:rsidRPr="0018135D" w:rsidRDefault="0018135D" w:rsidP="0018135D">
            <w:pPr>
              <w:spacing w:after="0" w:line="240" w:lineRule="auto"/>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 mln - 10 mln</w:t>
            </w:r>
          </w:p>
        </w:tc>
        <w:tc>
          <w:tcPr>
            <w:tcW w:w="1120" w:type="dxa"/>
            <w:tcBorders>
              <w:top w:val="nil"/>
              <w:left w:val="nil"/>
              <w:bottom w:val="nil"/>
              <w:right w:val="nil"/>
            </w:tcBorders>
            <w:shd w:val="clear" w:color="auto" w:fill="auto"/>
            <w:noWrap/>
            <w:vAlign w:val="bottom"/>
            <w:hideMark/>
          </w:tcPr>
          <w:p w14:paraId="48DEE4F8"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15721680</w:t>
            </w:r>
          </w:p>
        </w:tc>
        <w:tc>
          <w:tcPr>
            <w:tcW w:w="1480" w:type="dxa"/>
            <w:tcBorders>
              <w:top w:val="nil"/>
              <w:left w:val="nil"/>
              <w:bottom w:val="nil"/>
              <w:right w:val="nil"/>
            </w:tcBorders>
            <w:shd w:val="clear" w:color="auto" w:fill="auto"/>
            <w:noWrap/>
            <w:vAlign w:val="bottom"/>
            <w:hideMark/>
          </w:tcPr>
          <w:p w14:paraId="2A02D10B"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28348</w:t>
            </w:r>
          </w:p>
        </w:tc>
        <w:tc>
          <w:tcPr>
            <w:tcW w:w="1160" w:type="dxa"/>
            <w:tcBorders>
              <w:top w:val="nil"/>
              <w:left w:val="nil"/>
              <w:bottom w:val="nil"/>
              <w:right w:val="nil"/>
            </w:tcBorders>
            <w:shd w:val="clear" w:color="auto" w:fill="auto"/>
            <w:noWrap/>
            <w:vAlign w:val="bottom"/>
            <w:hideMark/>
          </w:tcPr>
          <w:p w14:paraId="491A4965"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w:t>
            </w:r>
          </w:p>
        </w:tc>
        <w:tc>
          <w:tcPr>
            <w:tcW w:w="300" w:type="dxa"/>
            <w:tcBorders>
              <w:top w:val="nil"/>
              <w:left w:val="nil"/>
              <w:bottom w:val="nil"/>
              <w:right w:val="nil"/>
            </w:tcBorders>
            <w:shd w:val="clear" w:color="auto" w:fill="auto"/>
            <w:noWrap/>
            <w:vAlign w:val="bottom"/>
            <w:hideMark/>
          </w:tcPr>
          <w:p w14:paraId="107E7C97"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5F7E589D"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0,6</w:t>
            </w:r>
          </w:p>
        </w:tc>
        <w:tc>
          <w:tcPr>
            <w:tcW w:w="560" w:type="dxa"/>
            <w:tcBorders>
              <w:top w:val="nil"/>
              <w:left w:val="nil"/>
              <w:bottom w:val="nil"/>
              <w:right w:val="nil"/>
            </w:tcBorders>
            <w:shd w:val="clear" w:color="auto" w:fill="auto"/>
            <w:noWrap/>
            <w:vAlign w:val="bottom"/>
            <w:hideMark/>
          </w:tcPr>
          <w:p w14:paraId="0D1A5BE0"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0,8</w:t>
            </w:r>
          </w:p>
        </w:tc>
        <w:tc>
          <w:tcPr>
            <w:tcW w:w="260" w:type="dxa"/>
            <w:tcBorders>
              <w:top w:val="nil"/>
              <w:left w:val="nil"/>
              <w:bottom w:val="nil"/>
              <w:right w:val="nil"/>
            </w:tcBorders>
            <w:shd w:val="clear" w:color="auto" w:fill="auto"/>
            <w:noWrap/>
            <w:vAlign w:val="bottom"/>
            <w:hideMark/>
          </w:tcPr>
          <w:p w14:paraId="474355E0"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D42405F"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0,6</w:t>
            </w:r>
          </w:p>
        </w:tc>
        <w:tc>
          <w:tcPr>
            <w:tcW w:w="560" w:type="dxa"/>
            <w:tcBorders>
              <w:top w:val="nil"/>
              <w:left w:val="nil"/>
              <w:bottom w:val="nil"/>
              <w:right w:val="nil"/>
            </w:tcBorders>
            <w:shd w:val="clear" w:color="auto" w:fill="auto"/>
            <w:noWrap/>
            <w:vAlign w:val="bottom"/>
            <w:hideMark/>
          </w:tcPr>
          <w:p w14:paraId="71AC8015"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0,8</w:t>
            </w:r>
          </w:p>
        </w:tc>
        <w:tc>
          <w:tcPr>
            <w:tcW w:w="280" w:type="dxa"/>
            <w:tcBorders>
              <w:top w:val="nil"/>
              <w:left w:val="nil"/>
              <w:bottom w:val="nil"/>
              <w:right w:val="nil"/>
            </w:tcBorders>
            <w:shd w:val="clear" w:color="auto" w:fill="auto"/>
            <w:noWrap/>
            <w:vAlign w:val="bottom"/>
            <w:hideMark/>
          </w:tcPr>
          <w:p w14:paraId="01BAA456"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03F30B6"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0,6</w:t>
            </w:r>
          </w:p>
        </w:tc>
        <w:tc>
          <w:tcPr>
            <w:tcW w:w="560" w:type="dxa"/>
            <w:tcBorders>
              <w:top w:val="nil"/>
              <w:left w:val="nil"/>
              <w:bottom w:val="nil"/>
              <w:right w:val="nil"/>
            </w:tcBorders>
            <w:shd w:val="clear" w:color="auto" w:fill="auto"/>
            <w:noWrap/>
            <w:vAlign w:val="bottom"/>
            <w:hideMark/>
          </w:tcPr>
          <w:p w14:paraId="433C9C2C"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0,8</w:t>
            </w:r>
          </w:p>
        </w:tc>
      </w:tr>
      <w:tr w:rsidR="0018135D" w:rsidRPr="0018135D" w14:paraId="49D647F7" w14:textId="77777777" w:rsidTr="0018135D">
        <w:trPr>
          <w:trHeight w:val="300"/>
        </w:trPr>
        <w:tc>
          <w:tcPr>
            <w:tcW w:w="1380" w:type="dxa"/>
            <w:tcBorders>
              <w:top w:val="nil"/>
              <w:left w:val="nil"/>
              <w:bottom w:val="nil"/>
              <w:right w:val="nil"/>
            </w:tcBorders>
            <w:shd w:val="clear" w:color="auto" w:fill="auto"/>
            <w:noWrap/>
            <w:vAlign w:val="bottom"/>
            <w:hideMark/>
          </w:tcPr>
          <w:p w14:paraId="41BF3995" w14:textId="77777777" w:rsidR="0018135D" w:rsidRPr="0018135D" w:rsidRDefault="0018135D" w:rsidP="0018135D">
            <w:pPr>
              <w:spacing w:after="0" w:line="240" w:lineRule="auto"/>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10 mln - 100 mln</w:t>
            </w:r>
          </w:p>
        </w:tc>
        <w:tc>
          <w:tcPr>
            <w:tcW w:w="1120" w:type="dxa"/>
            <w:tcBorders>
              <w:top w:val="nil"/>
              <w:left w:val="nil"/>
              <w:bottom w:val="nil"/>
              <w:right w:val="nil"/>
            </w:tcBorders>
            <w:shd w:val="clear" w:color="auto" w:fill="auto"/>
            <w:noWrap/>
            <w:vAlign w:val="bottom"/>
            <w:hideMark/>
          </w:tcPr>
          <w:p w14:paraId="6010EAC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310710</w:t>
            </w:r>
          </w:p>
        </w:tc>
        <w:tc>
          <w:tcPr>
            <w:tcW w:w="1480" w:type="dxa"/>
            <w:tcBorders>
              <w:top w:val="nil"/>
              <w:left w:val="nil"/>
              <w:bottom w:val="nil"/>
              <w:right w:val="nil"/>
            </w:tcBorders>
            <w:shd w:val="clear" w:color="auto" w:fill="auto"/>
            <w:noWrap/>
            <w:vAlign w:val="bottom"/>
            <w:hideMark/>
          </w:tcPr>
          <w:p w14:paraId="040B085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5425</w:t>
            </w:r>
          </w:p>
        </w:tc>
        <w:tc>
          <w:tcPr>
            <w:tcW w:w="1160" w:type="dxa"/>
            <w:tcBorders>
              <w:top w:val="nil"/>
              <w:left w:val="nil"/>
              <w:bottom w:val="nil"/>
              <w:right w:val="nil"/>
            </w:tcBorders>
            <w:shd w:val="clear" w:color="auto" w:fill="auto"/>
            <w:noWrap/>
            <w:vAlign w:val="bottom"/>
            <w:hideMark/>
          </w:tcPr>
          <w:p w14:paraId="364ADE39"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17</w:t>
            </w:r>
          </w:p>
        </w:tc>
        <w:tc>
          <w:tcPr>
            <w:tcW w:w="300" w:type="dxa"/>
            <w:tcBorders>
              <w:top w:val="nil"/>
              <w:left w:val="nil"/>
              <w:bottom w:val="nil"/>
              <w:right w:val="nil"/>
            </w:tcBorders>
            <w:shd w:val="clear" w:color="auto" w:fill="auto"/>
            <w:noWrap/>
            <w:vAlign w:val="bottom"/>
            <w:hideMark/>
          </w:tcPr>
          <w:p w14:paraId="713BFF87"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25C6E18B"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1,3</w:t>
            </w:r>
          </w:p>
        </w:tc>
        <w:tc>
          <w:tcPr>
            <w:tcW w:w="560" w:type="dxa"/>
            <w:tcBorders>
              <w:top w:val="nil"/>
              <w:left w:val="nil"/>
              <w:bottom w:val="nil"/>
              <w:right w:val="nil"/>
            </w:tcBorders>
            <w:shd w:val="clear" w:color="auto" w:fill="auto"/>
            <w:noWrap/>
            <w:vAlign w:val="bottom"/>
            <w:hideMark/>
          </w:tcPr>
          <w:p w14:paraId="59C762F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0,3</w:t>
            </w:r>
          </w:p>
        </w:tc>
        <w:tc>
          <w:tcPr>
            <w:tcW w:w="260" w:type="dxa"/>
            <w:tcBorders>
              <w:top w:val="nil"/>
              <w:left w:val="nil"/>
              <w:bottom w:val="nil"/>
              <w:right w:val="nil"/>
            </w:tcBorders>
            <w:shd w:val="clear" w:color="auto" w:fill="auto"/>
            <w:noWrap/>
            <w:vAlign w:val="bottom"/>
            <w:hideMark/>
          </w:tcPr>
          <w:p w14:paraId="512BA266"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1201FDA5"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1,1</w:t>
            </w:r>
          </w:p>
        </w:tc>
        <w:tc>
          <w:tcPr>
            <w:tcW w:w="560" w:type="dxa"/>
            <w:tcBorders>
              <w:top w:val="nil"/>
              <w:left w:val="nil"/>
              <w:bottom w:val="nil"/>
              <w:right w:val="nil"/>
            </w:tcBorders>
            <w:shd w:val="clear" w:color="auto" w:fill="auto"/>
            <w:noWrap/>
            <w:vAlign w:val="bottom"/>
            <w:hideMark/>
          </w:tcPr>
          <w:p w14:paraId="716C6D9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0,3</w:t>
            </w:r>
          </w:p>
        </w:tc>
        <w:tc>
          <w:tcPr>
            <w:tcW w:w="280" w:type="dxa"/>
            <w:tcBorders>
              <w:top w:val="nil"/>
              <w:left w:val="nil"/>
              <w:bottom w:val="nil"/>
              <w:right w:val="nil"/>
            </w:tcBorders>
            <w:shd w:val="clear" w:color="auto" w:fill="auto"/>
            <w:noWrap/>
            <w:vAlign w:val="bottom"/>
            <w:hideMark/>
          </w:tcPr>
          <w:p w14:paraId="67B45094"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B84362E"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1,3</w:t>
            </w:r>
          </w:p>
        </w:tc>
        <w:tc>
          <w:tcPr>
            <w:tcW w:w="560" w:type="dxa"/>
            <w:tcBorders>
              <w:top w:val="nil"/>
              <w:left w:val="nil"/>
              <w:bottom w:val="nil"/>
              <w:right w:val="nil"/>
            </w:tcBorders>
            <w:shd w:val="clear" w:color="auto" w:fill="auto"/>
            <w:noWrap/>
            <w:vAlign w:val="bottom"/>
            <w:hideMark/>
          </w:tcPr>
          <w:p w14:paraId="6A1F3237"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0,3</w:t>
            </w:r>
          </w:p>
        </w:tc>
      </w:tr>
      <w:tr w:rsidR="0018135D" w:rsidRPr="0018135D" w14:paraId="492800CD" w14:textId="77777777" w:rsidTr="0018135D">
        <w:trPr>
          <w:trHeight w:val="300"/>
        </w:trPr>
        <w:tc>
          <w:tcPr>
            <w:tcW w:w="1380" w:type="dxa"/>
            <w:tcBorders>
              <w:top w:val="nil"/>
              <w:left w:val="nil"/>
              <w:bottom w:val="nil"/>
              <w:right w:val="nil"/>
            </w:tcBorders>
            <w:shd w:val="clear" w:color="auto" w:fill="auto"/>
            <w:noWrap/>
            <w:vAlign w:val="bottom"/>
            <w:hideMark/>
          </w:tcPr>
          <w:p w14:paraId="3C939C5B" w14:textId="77777777" w:rsidR="0018135D" w:rsidRPr="0018135D" w:rsidRDefault="0018135D" w:rsidP="0018135D">
            <w:pPr>
              <w:spacing w:after="0" w:line="240" w:lineRule="auto"/>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100 mln - 1 mld</w:t>
            </w:r>
          </w:p>
        </w:tc>
        <w:tc>
          <w:tcPr>
            <w:tcW w:w="1120" w:type="dxa"/>
            <w:tcBorders>
              <w:top w:val="nil"/>
              <w:left w:val="nil"/>
              <w:bottom w:val="nil"/>
              <w:right w:val="nil"/>
            </w:tcBorders>
            <w:shd w:val="clear" w:color="auto" w:fill="auto"/>
            <w:noWrap/>
            <w:vAlign w:val="bottom"/>
            <w:hideMark/>
          </w:tcPr>
          <w:p w14:paraId="05E22FCB"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7680</w:t>
            </w:r>
          </w:p>
        </w:tc>
        <w:tc>
          <w:tcPr>
            <w:tcW w:w="1480" w:type="dxa"/>
            <w:tcBorders>
              <w:top w:val="nil"/>
              <w:left w:val="nil"/>
              <w:bottom w:val="nil"/>
              <w:right w:val="nil"/>
            </w:tcBorders>
            <w:shd w:val="clear" w:color="auto" w:fill="auto"/>
            <w:noWrap/>
            <w:vAlign w:val="bottom"/>
            <w:hideMark/>
          </w:tcPr>
          <w:p w14:paraId="51504554"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2134</w:t>
            </w:r>
          </w:p>
        </w:tc>
        <w:tc>
          <w:tcPr>
            <w:tcW w:w="1160" w:type="dxa"/>
            <w:tcBorders>
              <w:top w:val="nil"/>
              <w:left w:val="nil"/>
              <w:bottom w:val="nil"/>
              <w:right w:val="nil"/>
            </w:tcBorders>
            <w:shd w:val="clear" w:color="auto" w:fill="auto"/>
            <w:noWrap/>
            <w:vAlign w:val="bottom"/>
            <w:hideMark/>
          </w:tcPr>
          <w:p w14:paraId="0F808567"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278</w:t>
            </w:r>
          </w:p>
        </w:tc>
        <w:tc>
          <w:tcPr>
            <w:tcW w:w="300" w:type="dxa"/>
            <w:tcBorders>
              <w:top w:val="nil"/>
              <w:left w:val="nil"/>
              <w:bottom w:val="nil"/>
              <w:right w:val="nil"/>
            </w:tcBorders>
            <w:shd w:val="clear" w:color="auto" w:fill="auto"/>
            <w:noWrap/>
            <w:vAlign w:val="bottom"/>
            <w:hideMark/>
          </w:tcPr>
          <w:p w14:paraId="508A8ABF"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6DF9A26B"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1,5</w:t>
            </w:r>
          </w:p>
        </w:tc>
        <w:tc>
          <w:tcPr>
            <w:tcW w:w="560" w:type="dxa"/>
            <w:tcBorders>
              <w:top w:val="nil"/>
              <w:left w:val="nil"/>
              <w:bottom w:val="nil"/>
              <w:right w:val="nil"/>
            </w:tcBorders>
            <w:shd w:val="clear" w:color="auto" w:fill="auto"/>
            <w:noWrap/>
            <w:vAlign w:val="bottom"/>
            <w:hideMark/>
          </w:tcPr>
          <w:p w14:paraId="1CD8C554"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0,1</w:t>
            </w:r>
          </w:p>
        </w:tc>
        <w:tc>
          <w:tcPr>
            <w:tcW w:w="260" w:type="dxa"/>
            <w:tcBorders>
              <w:top w:val="nil"/>
              <w:left w:val="nil"/>
              <w:bottom w:val="nil"/>
              <w:right w:val="nil"/>
            </w:tcBorders>
            <w:shd w:val="clear" w:color="auto" w:fill="auto"/>
            <w:noWrap/>
            <w:vAlign w:val="bottom"/>
            <w:hideMark/>
          </w:tcPr>
          <w:p w14:paraId="4316F51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62C466F0"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2,5</w:t>
            </w:r>
          </w:p>
        </w:tc>
        <w:tc>
          <w:tcPr>
            <w:tcW w:w="560" w:type="dxa"/>
            <w:tcBorders>
              <w:top w:val="nil"/>
              <w:left w:val="nil"/>
              <w:bottom w:val="nil"/>
              <w:right w:val="nil"/>
            </w:tcBorders>
            <w:shd w:val="clear" w:color="auto" w:fill="auto"/>
            <w:noWrap/>
            <w:vAlign w:val="bottom"/>
            <w:hideMark/>
          </w:tcPr>
          <w:p w14:paraId="23ADF64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0,2</w:t>
            </w:r>
          </w:p>
        </w:tc>
        <w:tc>
          <w:tcPr>
            <w:tcW w:w="280" w:type="dxa"/>
            <w:tcBorders>
              <w:top w:val="nil"/>
              <w:left w:val="nil"/>
              <w:bottom w:val="nil"/>
              <w:right w:val="nil"/>
            </w:tcBorders>
            <w:shd w:val="clear" w:color="auto" w:fill="auto"/>
            <w:noWrap/>
            <w:vAlign w:val="bottom"/>
            <w:hideMark/>
          </w:tcPr>
          <w:p w14:paraId="63CCF91F"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97E0E7A"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5,6</w:t>
            </w:r>
          </w:p>
        </w:tc>
        <w:tc>
          <w:tcPr>
            <w:tcW w:w="560" w:type="dxa"/>
            <w:tcBorders>
              <w:top w:val="nil"/>
              <w:left w:val="nil"/>
              <w:bottom w:val="nil"/>
              <w:right w:val="nil"/>
            </w:tcBorders>
            <w:shd w:val="clear" w:color="auto" w:fill="auto"/>
            <w:noWrap/>
            <w:vAlign w:val="bottom"/>
            <w:hideMark/>
          </w:tcPr>
          <w:p w14:paraId="03FE2D99"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0,5</w:t>
            </w:r>
          </w:p>
        </w:tc>
      </w:tr>
      <w:tr w:rsidR="0018135D" w:rsidRPr="0018135D" w14:paraId="4D523027" w14:textId="77777777" w:rsidTr="0018135D">
        <w:trPr>
          <w:trHeight w:val="300"/>
        </w:trPr>
        <w:tc>
          <w:tcPr>
            <w:tcW w:w="1380" w:type="dxa"/>
            <w:tcBorders>
              <w:top w:val="nil"/>
              <w:left w:val="nil"/>
              <w:bottom w:val="nil"/>
              <w:right w:val="nil"/>
            </w:tcBorders>
            <w:shd w:val="clear" w:color="auto" w:fill="auto"/>
            <w:noWrap/>
            <w:vAlign w:val="bottom"/>
            <w:hideMark/>
          </w:tcPr>
          <w:p w14:paraId="1EB3977C" w14:textId="77777777" w:rsidR="0018135D" w:rsidRPr="0018135D" w:rsidRDefault="0018135D" w:rsidP="0018135D">
            <w:pPr>
              <w:spacing w:after="0" w:line="240" w:lineRule="auto"/>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 mld - 10 mld</w:t>
            </w:r>
          </w:p>
        </w:tc>
        <w:tc>
          <w:tcPr>
            <w:tcW w:w="1120" w:type="dxa"/>
            <w:tcBorders>
              <w:top w:val="nil"/>
              <w:left w:val="nil"/>
              <w:bottom w:val="nil"/>
              <w:right w:val="nil"/>
            </w:tcBorders>
            <w:shd w:val="clear" w:color="auto" w:fill="auto"/>
            <w:noWrap/>
            <w:vAlign w:val="bottom"/>
            <w:hideMark/>
          </w:tcPr>
          <w:p w14:paraId="6AC72FCF"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474</w:t>
            </w:r>
          </w:p>
        </w:tc>
        <w:tc>
          <w:tcPr>
            <w:tcW w:w="1480" w:type="dxa"/>
            <w:tcBorders>
              <w:top w:val="nil"/>
              <w:left w:val="nil"/>
              <w:bottom w:val="nil"/>
              <w:right w:val="nil"/>
            </w:tcBorders>
            <w:shd w:val="clear" w:color="auto" w:fill="auto"/>
            <w:noWrap/>
            <w:vAlign w:val="bottom"/>
            <w:hideMark/>
          </w:tcPr>
          <w:p w14:paraId="76820824"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1671</w:t>
            </w:r>
          </w:p>
        </w:tc>
        <w:tc>
          <w:tcPr>
            <w:tcW w:w="1160" w:type="dxa"/>
            <w:tcBorders>
              <w:top w:val="nil"/>
              <w:left w:val="nil"/>
              <w:bottom w:val="nil"/>
              <w:right w:val="nil"/>
            </w:tcBorders>
            <w:shd w:val="clear" w:color="auto" w:fill="auto"/>
            <w:noWrap/>
            <w:vAlign w:val="bottom"/>
            <w:hideMark/>
          </w:tcPr>
          <w:p w14:paraId="757F354D"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3525</w:t>
            </w:r>
          </w:p>
        </w:tc>
        <w:tc>
          <w:tcPr>
            <w:tcW w:w="300" w:type="dxa"/>
            <w:tcBorders>
              <w:top w:val="nil"/>
              <w:left w:val="nil"/>
              <w:bottom w:val="nil"/>
              <w:right w:val="nil"/>
            </w:tcBorders>
            <w:shd w:val="clear" w:color="auto" w:fill="auto"/>
            <w:noWrap/>
            <w:vAlign w:val="bottom"/>
            <w:hideMark/>
          </w:tcPr>
          <w:p w14:paraId="2C2CBE4A"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B8CE557"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2,3</w:t>
            </w:r>
          </w:p>
        </w:tc>
        <w:tc>
          <w:tcPr>
            <w:tcW w:w="560" w:type="dxa"/>
            <w:tcBorders>
              <w:top w:val="nil"/>
              <w:left w:val="nil"/>
              <w:bottom w:val="nil"/>
              <w:right w:val="nil"/>
            </w:tcBorders>
            <w:shd w:val="clear" w:color="auto" w:fill="auto"/>
            <w:noWrap/>
            <w:vAlign w:val="bottom"/>
            <w:hideMark/>
          </w:tcPr>
          <w:p w14:paraId="774706E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0,2</w:t>
            </w:r>
          </w:p>
        </w:tc>
        <w:tc>
          <w:tcPr>
            <w:tcW w:w="260" w:type="dxa"/>
            <w:tcBorders>
              <w:top w:val="nil"/>
              <w:left w:val="nil"/>
              <w:bottom w:val="nil"/>
              <w:right w:val="nil"/>
            </w:tcBorders>
            <w:shd w:val="clear" w:color="auto" w:fill="auto"/>
            <w:noWrap/>
            <w:vAlign w:val="bottom"/>
            <w:hideMark/>
          </w:tcPr>
          <w:p w14:paraId="7ADFE27E"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A00E63E"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4,6</w:t>
            </w:r>
          </w:p>
        </w:tc>
        <w:tc>
          <w:tcPr>
            <w:tcW w:w="560" w:type="dxa"/>
            <w:tcBorders>
              <w:top w:val="nil"/>
              <w:left w:val="nil"/>
              <w:bottom w:val="nil"/>
              <w:right w:val="nil"/>
            </w:tcBorders>
            <w:shd w:val="clear" w:color="auto" w:fill="auto"/>
            <w:noWrap/>
            <w:vAlign w:val="bottom"/>
            <w:hideMark/>
          </w:tcPr>
          <w:p w14:paraId="0F8DDD13"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0,3</w:t>
            </w:r>
          </w:p>
        </w:tc>
        <w:tc>
          <w:tcPr>
            <w:tcW w:w="280" w:type="dxa"/>
            <w:tcBorders>
              <w:top w:val="nil"/>
              <w:left w:val="nil"/>
              <w:bottom w:val="nil"/>
              <w:right w:val="nil"/>
            </w:tcBorders>
            <w:shd w:val="clear" w:color="auto" w:fill="auto"/>
            <w:noWrap/>
            <w:vAlign w:val="bottom"/>
            <w:hideMark/>
          </w:tcPr>
          <w:p w14:paraId="5066E1D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15F1E67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13,2</w:t>
            </w:r>
          </w:p>
        </w:tc>
        <w:tc>
          <w:tcPr>
            <w:tcW w:w="560" w:type="dxa"/>
            <w:tcBorders>
              <w:top w:val="nil"/>
              <w:left w:val="nil"/>
              <w:bottom w:val="nil"/>
              <w:right w:val="nil"/>
            </w:tcBorders>
            <w:shd w:val="clear" w:color="auto" w:fill="auto"/>
            <w:noWrap/>
            <w:vAlign w:val="bottom"/>
            <w:hideMark/>
          </w:tcPr>
          <w:p w14:paraId="7C225CE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w:t>
            </w:r>
          </w:p>
        </w:tc>
      </w:tr>
      <w:tr w:rsidR="0018135D" w:rsidRPr="0018135D" w14:paraId="26964741" w14:textId="77777777" w:rsidTr="0018135D">
        <w:trPr>
          <w:trHeight w:val="300"/>
        </w:trPr>
        <w:tc>
          <w:tcPr>
            <w:tcW w:w="1380" w:type="dxa"/>
            <w:tcBorders>
              <w:top w:val="nil"/>
              <w:left w:val="nil"/>
              <w:bottom w:val="nil"/>
              <w:right w:val="nil"/>
            </w:tcBorders>
            <w:shd w:val="clear" w:color="auto" w:fill="auto"/>
            <w:noWrap/>
            <w:vAlign w:val="bottom"/>
            <w:hideMark/>
          </w:tcPr>
          <w:p w14:paraId="650E314A" w14:textId="77777777" w:rsidR="0018135D" w:rsidRPr="0018135D" w:rsidRDefault="0018135D" w:rsidP="0018135D">
            <w:pPr>
              <w:spacing w:after="0" w:line="240" w:lineRule="auto"/>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10 mld - 100 mld</w:t>
            </w:r>
          </w:p>
        </w:tc>
        <w:tc>
          <w:tcPr>
            <w:tcW w:w="1120" w:type="dxa"/>
            <w:tcBorders>
              <w:top w:val="nil"/>
              <w:left w:val="nil"/>
              <w:bottom w:val="nil"/>
              <w:right w:val="nil"/>
            </w:tcBorders>
            <w:shd w:val="clear" w:color="auto" w:fill="auto"/>
            <w:noWrap/>
            <w:vAlign w:val="bottom"/>
            <w:hideMark/>
          </w:tcPr>
          <w:p w14:paraId="6C85DE03"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24</w:t>
            </w:r>
          </w:p>
        </w:tc>
        <w:tc>
          <w:tcPr>
            <w:tcW w:w="1480" w:type="dxa"/>
            <w:tcBorders>
              <w:top w:val="nil"/>
              <w:left w:val="nil"/>
              <w:bottom w:val="nil"/>
              <w:right w:val="nil"/>
            </w:tcBorders>
            <w:shd w:val="clear" w:color="auto" w:fill="auto"/>
            <w:noWrap/>
            <w:vAlign w:val="bottom"/>
            <w:hideMark/>
          </w:tcPr>
          <w:p w14:paraId="66A31C23"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558</w:t>
            </w:r>
          </w:p>
        </w:tc>
        <w:tc>
          <w:tcPr>
            <w:tcW w:w="1160" w:type="dxa"/>
            <w:tcBorders>
              <w:top w:val="nil"/>
              <w:left w:val="nil"/>
              <w:bottom w:val="nil"/>
              <w:right w:val="nil"/>
            </w:tcBorders>
            <w:shd w:val="clear" w:color="auto" w:fill="auto"/>
            <w:noWrap/>
            <w:vAlign w:val="bottom"/>
            <w:hideMark/>
          </w:tcPr>
          <w:p w14:paraId="1A7B5F15"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23250</w:t>
            </w:r>
          </w:p>
        </w:tc>
        <w:tc>
          <w:tcPr>
            <w:tcW w:w="300" w:type="dxa"/>
            <w:tcBorders>
              <w:top w:val="nil"/>
              <w:left w:val="nil"/>
              <w:bottom w:val="nil"/>
              <w:right w:val="nil"/>
            </w:tcBorders>
            <w:shd w:val="clear" w:color="auto" w:fill="auto"/>
            <w:noWrap/>
            <w:vAlign w:val="bottom"/>
            <w:hideMark/>
          </w:tcPr>
          <w:p w14:paraId="09FB5F7B"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0B8AA3AA"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2,8</w:t>
            </w:r>
          </w:p>
        </w:tc>
        <w:tc>
          <w:tcPr>
            <w:tcW w:w="560" w:type="dxa"/>
            <w:tcBorders>
              <w:top w:val="nil"/>
              <w:left w:val="nil"/>
              <w:bottom w:val="nil"/>
              <w:right w:val="nil"/>
            </w:tcBorders>
            <w:shd w:val="clear" w:color="auto" w:fill="auto"/>
            <w:noWrap/>
            <w:vAlign w:val="bottom"/>
            <w:hideMark/>
          </w:tcPr>
          <w:p w14:paraId="60B56A27"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0,1</w:t>
            </w:r>
          </w:p>
        </w:tc>
        <w:tc>
          <w:tcPr>
            <w:tcW w:w="260" w:type="dxa"/>
            <w:tcBorders>
              <w:top w:val="nil"/>
              <w:left w:val="nil"/>
              <w:bottom w:val="nil"/>
              <w:right w:val="nil"/>
            </w:tcBorders>
            <w:shd w:val="clear" w:color="auto" w:fill="auto"/>
            <w:noWrap/>
            <w:vAlign w:val="bottom"/>
            <w:hideMark/>
          </w:tcPr>
          <w:p w14:paraId="2AB63941"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2BBF3959"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6,3</w:t>
            </w:r>
          </w:p>
        </w:tc>
        <w:tc>
          <w:tcPr>
            <w:tcW w:w="560" w:type="dxa"/>
            <w:tcBorders>
              <w:top w:val="nil"/>
              <w:left w:val="nil"/>
              <w:bottom w:val="nil"/>
              <w:right w:val="nil"/>
            </w:tcBorders>
            <w:shd w:val="clear" w:color="auto" w:fill="auto"/>
            <w:noWrap/>
            <w:vAlign w:val="bottom"/>
            <w:hideMark/>
          </w:tcPr>
          <w:p w14:paraId="6207D0CA"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0,2</w:t>
            </w:r>
          </w:p>
        </w:tc>
        <w:tc>
          <w:tcPr>
            <w:tcW w:w="280" w:type="dxa"/>
            <w:tcBorders>
              <w:top w:val="nil"/>
              <w:left w:val="nil"/>
              <w:bottom w:val="nil"/>
              <w:right w:val="nil"/>
            </w:tcBorders>
            <w:shd w:val="clear" w:color="auto" w:fill="auto"/>
            <w:noWrap/>
            <w:vAlign w:val="bottom"/>
            <w:hideMark/>
          </w:tcPr>
          <w:p w14:paraId="60E1BDD5"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4F3C7629"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39,2</w:t>
            </w:r>
          </w:p>
        </w:tc>
        <w:tc>
          <w:tcPr>
            <w:tcW w:w="560" w:type="dxa"/>
            <w:tcBorders>
              <w:top w:val="nil"/>
              <w:left w:val="nil"/>
              <w:bottom w:val="nil"/>
              <w:right w:val="nil"/>
            </w:tcBorders>
            <w:shd w:val="clear" w:color="auto" w:fill="auto"/>
            <w:noWrap/>
            <w:vAlign w:val="bottom"/>
            <w:hideMark/>
          </w:tcPr>
          <w:p w14:paraId="5D8DDE4E"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w:t>
            </w:r>
          </w:p>
        </w:tc>
      </w:tr>
      <w:tr w:rsidR="0018135D" w:rsidRPr="0018135D" w14:paraId="71111004" w14:textId="77777777" w:rsidTr="0018135D">
        <w:trPr>
          <w:trHeight w:val="300"/>
        </w:trPr>
        <w:tc>
          <w:tcPr>
            <w:tcW w:w="1380" w:type="dxa"/>
            <w:tcBorders>
              <w:top w:val="nil"/>
              <w:left w:val="nil"/>
              <w:bottom w:val="nil"/>
              <w:right w:val="nil"/>
            </w:tcBorders>
            <w:shd w:val="clear" w:color="auto" w:fill="auto"/>
            <w:noWrap/>
            <w:vAlign w:val="bottom"/>
            <w:hideMark/>
          </w:tcPr>
          <w:p w14:paraId="6E38582F" w14:textId="77777777" w:rsidR="0018135D" w:rsidRPr="0018135D" w:rsidRDefault="0018135D" w:rsidP="0018135D">
            <w:pPr>
              <w:spacing w:after="0" w:line="240" w:lineRule="auto"/>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&gt; 100 mld</w:t>
            </w:r>
          </w:p>
        </w:tc>
        <w:tc>
          <w:tcPr>
            <w:tcW w:w="1120" w:type="dxa"/>
            <w:tcBorders>
              <w:top w:val="nil"/>
              <w:left w:val="nil"/>
              <w:bottom w:val="nil"/>
              <w:right w:val="nil"/>
            </w:tcBorders>
            <w:shd w:val="clear" w:color="auto" w:fill="auto"/>
            <w:noWrap/>
            <w:vAlign w:val="bottom"/>
            <w:hideMark/>
          </w:tcPr>
          <w:p w14:paraId="029BFF89"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w:t>
            </w:r>
          </w:p>
        </w:tc>
        <w:tc>
          <w:tcPr>
            <w:tcW w:w="1480" w:type="dxa"/>
            <w:tcBorders>
              <w:top w:val="nil"/>
              <w:left w:val="nil"/>
              <w:bottom w:val="nil"/>
              <w:right w:val="nil"/>
            </w:tcBorders>
            <w:shd w:val="clear" w:color="auto" w:fill="auto"/>
            <w:noWrap/>
            <w:vAlign w:val="bottom"/>
            <w:hideMark/>
          </w:tcPr>
          <w:p w14:paraId="35A6D30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189</w:t>
            </w:r>
          </w:p>
        </w:tc>
        <w:tc>
          <w:tcPr>
            <w:tcW w:w="1160" w:type="dxa"/>
            <w:tcBorders>
              <w:top w:val="nil"/>
              <w:left w:val="nil"/>
              <w:bottom w:val="nil"/>
              <w:right w:val="nil"/>
            </w:tcBorders>
            <w:shd w:val="clear" w:color="auto" w:fill="auto"/>
            <w:noWrap/>
            <w:vAlign w:val="bottom"/>
            <w:hideMark/>
          </w:tcPr>
          <w:p w14:paraId="5BF9BBF5"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189000</w:t>
            </w:r>
          </w:p>
        </w:tc>
        <w:tc>
          <w:tcPr>
            <w:tcW w:w="300" w:type="dxa"/>
            <w:tcBorders>
              <w:top w:val="nil"/>
              <w:left w:val="nil"/>
              <w:bottom w:val="nil"/>
              <w:right w:val="nil"/>
            </w:tcBorders>
            <w:shd w:val="clear" w:color="auto" w:fill="auto"/>
            <w:noWrap/>
            <w:vAlign w:val="bottom"/>
            <w:hideMark/>
          </w:tcPr>
          <w:p w14:paraId="16AC9ABF"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6B944B6"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3,2</w:t>
            </w:r>
          </w:p>
        </w:tc>
        <w:tc>
          <w:tcPr>
            <w:tcW w:w="560" w:type="dxa"/>
            <w:tcBorders>
              <w:top w:val="nil"/>
              <w:left w:val="nil"/>
              <w:bottom w:val="nil"/>
              <w:right w:val="nil"/>
            </w:tcBorders>
            <w:shd w:val="clear" w:color="auto" w:fill="auto"/>
            <w:noWrap/>
            <w:vAlign w:val="bottom"/>
            <w:hideMark/>
          </w:tcPr>
          <w:p w14:paraId="3C8DE437"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0,03</w:t>
            </w:r>
          </w:p>
        </w:tc>
        <w:tc>
          <w:tcPr>
            <w:tcW w:w="260" w:type="dxa"/>
            <w:tcBorders>
              <w:top w:val="nil"/>
              <w:left w:val="nil"/>
              <w:bottom w:val="nil"/>
              <w:right w:val="nil"/>
            </w:tcBorders>
            <w:shd w:val="clear" w:color="auto" w:fill="auto"/>
            <w:noWrap/>
            <w:vAlign w:val="bottom"/>
            <w:hideMark/>
          </w:tcPr>
          <w:p w14:paraId="2A78F39D"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7D269B82"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8,1</w:t>
            </w:r>
          </w:p>
        </w:tc>
        <w:tc>
          <w:tcPr>
            <w:tcW w:w="560" w:type="dxa"/>
            <w:tcBorders>
              <w:top w:val="nil"/>
              <w:left w:val="nil"/>
              <w:bottom w:val="nil"/>
              <w:right w:val="nil"/>
            </w:tcBorders>
            <w:shd w:val="clear" w:color="auto" w:fill="auto"/>
            <w:noWrap/>
            <w:vAlign w:val="bottom"/>
            <w:hideMark/>
          </w:tcPr>
          <w:p w14:paraId="4D28C363"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0,1</w:t>
            </w:r>
          </w:p>
        </w:tc>
        <w:tc>
          <w:tcPr>
            <w:tcW w:w="280" w:type="dxa"/>
            <w:tcBorders>
              <w:top w:val="nil"/>
              <w:left w:val="nil"/>
              <w:bottom w:val="nil"/>
              <w:right w:val="nil"/>
            </w:tcBorders>
            <w:shd w:val="clear" w:color="auto" w:fill="auto"/>
            <w:noWrap/>
            <w:vAlign w:val="bottom"/>
            <w:hideMark/>
          </w:tcPr>
          <w:p w14:paraId="2FDC7BDE"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p>
        </w:tc>
        <w:tc>
          <w:tcPr>
            <w:tcW w:w="680" w:type="dxa"/>
            <w:tcBorders>
              <w:top w:val="nil"/>
              <w:left w:val="nil"/>
              <w:bottom w:val="nil"/>
              <w:right w:val="nil"/>
            </w:tcBorders>
            <w:shd w:val="clear" w:color="auto" w:fill="auto"/>
            <w:noWrap/>
            <w:vAlign w:val="bottom"/>
            <w:hideMark/>
          </w:tcPr>
          <w:p w14:paraId="3888B164"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63,7</w:t>
            </w:r>
          </w:p>
        </w:tc>
        <w:tc>
          <w:tcPr>
            <w:tcW w:w="560" w:type="dxa"/>
            <w:tcBorders>
              <w:top w:val="nil"/>
              <w:left w:val="nil"/>
              <w:bottom w:val="nil"/>
              <w:right w:val="nil"/>
            </w:tcBorders>
            <w:shd w:val="clear" w:color="auto" w:fill="auto"/>
            <w:noWrap/>
            <w:vAlign w:val="bottom"/>
            <w:hideMark/>
          </w:tcPr>
          <w:p w14:paraId="6F0A1694" w14:textId="77777777" w:rsidR="0018135D" w:rsidRPr="0018135D" w:rsidRDefault="0018135D" w:rsidP="0018135D">
            <w:pPr>
              <w:spacing w:after="0" w:line="240" w:lineRule="auto"/>
              <w:jc w:val="right"/>
              <w:rPr>
                <w:rFonts w:ascii="Calibri" w:eastAsia="Times New Roman" w:hAnsi="Calibri" w:cs="Calibri"/>
                <w:color w:val="000000"/>
                <w:sz w:val="16"/>
                <w:szCs w:val="16"/>
                <w:lang w:eastAsia="it-IT"/>
              </w:rPr>
            </w:pPr>
            <w:r w:rsidRPr="0018135D">
              <w:rPr>
                <w:rFonts w:ascii="Calibri" w:eastAsia="Times New Roman" w:hAnsi="Calibri" w:cs="Calibri"/>
                <w:color w:val="000000"/>
                <w:sz w:val="16"/>
                <w:szCs w:val="16"/>
                <w:lang w:eastAsia="it-IT"/>
              </w:rPr>
              <w:t>0,5</w:t>
            </w:r>
          </w:p>
        </w:tc>
      </w:tr>
    </w:tbl>
    <w:p w14:paraId="4E5ACE1C" w14:textId="61A3AF76" w:rsidR="0018135D" w:rsidRDefault="0018135D" w:rsidP="00122250">
      <w:pPr>
        <w:ind w:left="708"/>
      </w:pPr>
    </w:p>
    <w:p w14:paraId="5F8F39D3" w14:textId="2435045C" w:rsidR="0018135D" w:rsidRDefault="0018135D" w:rsidP="008E075B">
      <w:pPr>
        <w:ind w:left="1416"/>
      </w:pPr>
      <w:r>
        <w:t xml:space="preserve">Da cui si vede che </w:t>
      </w:r>
      <w:r w:rsidR="003972F7">
        <w:t>la concentrazione della ricchezza è forse ancora superiore a quella vista a livello globale: i miliardari</w:t>
      </w:r>
      <w:r w:rsidR="008E075B">
        <w:t xml:space="preserve"> sono infatti solo 499 e</w:t>
      </w:r>
      <w:r w:rsidR="003972F7">
        <w:t xml:space="preserve"> rappresentano lo 0,003% di tutti i milionari detenendo il 6,3% della ricchezza totale di tutti i milionari.</w:t>
      </w:r>
    </w:p>
    <w:p w14:paraId="396BB91A" w14:textId="179AFB23" w:rsidR="003972F7" w:rsidRDefault="003972F7" w:rsidP="008E075B">
      <w:pPr>
        <w:ind w:left="1416"/>
      </w:pPr>
      <w:r>
        <w:lastRenderedPageBreak/>
        <w:t xml:space="preserve">È importante osservare che le stime dei ricavi indicate nelle due tabelle precedenti tengono conto sia </w:t>
      </w:r>
      <w:r w:rsidR="00E3124E">
        <w:t>dell’evasione fiscale sia del deprezzamento delle risorse. L’evasione fiscale (sottovalutazioni, spostamento del patrimonio nei paradisi fiscali, frodi ecc.) è stata stimata nel 10%, mentre il deprezzamento delle risorse dovuto alla presenza di una tassa patrimoniale è stimata nel 15%.</w:t>
      </w:r>
    </w:p>
    <w:p w14:paraId="0E852332" w14:textId="20F50D4C" w:rsidR="003C2909" w:rsidRDefault="00E3124E" w:rsidP="008E075B">
      <w:pPr>
        <w:ind w:left="1416"/>
      </w:pPr>
      <w:r>
        <w:t>Dobbiamo sottolineare che il comportamento dei cittadini in risposta all’introduzione di un’imposta patrimoniale annuale progressiva non ubbidisce ad alcuna legge di natura, ma è governato dalle scelte di politica fiscale e dal modo in cui è utilizzato il gettito di questa imposta: in quanto segue sono discusse le opzioni disponibili per contrastare l’evasione fiscale e per utilizzare al meglio il gettito ricavato.</w:t>
      </w:r>
    </w:p>
    <w:p w14:paraId="740BE836" w14:textId="07D84406" w:rsidR="008E075B" w:rsidRDefault="008E075B" w:rsidP="00122250">
      <w:pPr>
        <w:ind w:left="708"/>
      </w:pPr>
    </w:p>
    <w:p w14:paraId="0EB65CF2" w14:textId="68D151B5" w:rsidR="008E075B" w:rsidRPr="008E075B" w:rsidRDefault="008E075B" w:rsidP="008E075B">
      <w:pPr>
        <w:pStyle w:val="Paragrafoelenco"/>
        <w:numPr>
          <w:ilvl w:val="1"/>
          <w:numId w:val="1"/>
        </w:numPr>
        <w:rPr>
          <w:u w:val="single"/>
        </w:rPr>
      </w:pPr>
      <w:r w:rsidRPr="008E075B">
        <w:rPr>
          <w:u w:val="single"/>
        </w:rPr>
        <w:t>Imparare dal passato ed esempi correnti di imposta patrimoniale progressiva</w:t>
      </w:r>
      <w:r w:rsidR="003D2091">
        <w:rPr>
          <w:rStyle w:val="Rimandonotaapidipagina"/>
          <w:u w:val="single"/>
        </w:rPr>
        <w:footnoteReference w:id="7"/>
      </w:r>
    </w:p>
    <w:p w14:paraId="44667D1D" w14:textId="2ADA948F" w:rsidR="008E075B" w:rsidRDefault="008E075B" w:rsidP="008E075B">
      <w:pPr>
        <w:pStyle w:val="Paragrafoelenco"/>
        <w:ind w:left="1080"/>
      </w:pPr>
    </w:p>
    <w:p w14:paraId="1E81EF51" w14:textId="5179D3A0" w:rsidR="008E075B" w:rsidRPr="006F0D7E" w:rsidRDefault="008E075B" w:rsidP="008E075B">
      <w:pPr>
        <w:pStyle w:val="Paragrafoelenco"/>
        <w:ind w:left="1080"/>
        <w:rPr>
          <w:i/>
          <w:iCs/>
        </w:rPr>
      </w:pPr>
      <w:r w:rsidRPr="006F0D7E">
        <w:rPr>
          <w:i/>
          <w:iCs/>
        </w:rPr>
        <w:t xml:space="preserve">La maggior parte dei paesi europei hanno abolito in tempi recenti l’imposta patrimoniale progressiva. Le forme specifiche di imposta patrimoniale utilizzate in molti paesi europei </w:t>
      </w:r>
      <w:proofErr w:type="gramStart"/>
      <w:r w:rsidRPr="006F0D7E">
        <w:rPr>
          <w:i/>
          <w:iCs/>
        </w:rPr>
        <w:t>aveva</w:t>
      </w:r>
      <w:proofErr w:type="gramEnd"/>
      <w:r w:rsidRPr="006F0D7E">
        <w:rPr>
          <w:i/>
          <w:iCs/>
        </w:rPr>
        <w:t xml:space="preserve"> tre punti deboli. In primo luogo c’era la competizione fiscale fra gli stati </w:t>
      </w:r>
      <w:proofErr w:type="gramStart"/>
      <w:r w:rsidRPr="006F0D7E">
        <w:rPr>
          <w:i/>
          <w:iCs/>
        </w:rPr>
        <w:t>[….</w:t>
      </w:r>
      <w:proofErr w:type="gramEnd"/>
      <w:r w:rsidRPr="006F0D7E">
        <w:rPr>
          <w:i/>
          <w:iCs/>
        </w:rPr>
        <w:t>] e l’evasione verso i paradisi fiscali</w:t>
      </w:r>
      <w:r w:rsidR="003D2091" w:rsidRPr="006F0D7E">
        <w:rPr>
          <w:i/>
          <w:iCs/>
        </w:rPr>
        <w:t xml:space="preserve"> (fino a poco tempo fa non c’era alcuno scambi di informazioni fra gli stati). In secondo luogo le imposte patrimoniali europee avevano soglie di esenzione basse, il che poteva originare problemi di liquidità per i contribuenti solo moderatamente ricchi e con redditi limitati. In terzo luogo le imposte patrimoniali europee, molte delle quali erano state progettate all’inizio del XX secolo, non erano state modernizzate, probabilmente come riflesso dell’opposizione ideologica e politica all’imposta patrimoniale presente nella società negli ultimi decenni. Queste tasse si fondavano su auto-dichiarazioni piuttosto che su una raccolta sistematica di informazioni.</w:t>
      </w:r>
    </w:p>
    <w:p w14:paraId="49B87FC2" w14:textId="460A1F20" w:rsidR="003D2091" w:rsidRPr="006F0D7E" w:rsidRDefault="003D2091" w:rsidP="008E075B">
      <w:pPr>
        <w:pStyle w:val="Paragrafoelenco"/>
        <w:ind w:left="1080"/>
        <w:rPr>
          <w:i/>
          <w:iCs/>
        </w:rPr>
      </w:pPr>
    </w:p>
    <w:p w14:paraId="0D58ECD0" w14:textId="715CB973" w:rsidR="003D2091" w:rsidRPr="006F0D7E" w:rsidRDefault="003D2091" w:rsidP="008E075B">
      <w:pPr>
        <w:pStyle w:val="Paragrafoelenco"/>
        <w:ind w:left="1080"/>
        <w:rPr>
          <w:i/>
          <w:iCs/>
        </w:rPr>
      </w:pPr>
      <w:r w:rsidRPr="006F0D7E">
        <w:rPr>
          <w:i/>
          <w:iCs/>
        </w:rPr>
        <w:t xml:space="preserve">Questi tre punti di debolezza hanno condotto a riforme che hanno gradatamente </w:t>
      </w:r>
      <w:r w:rsidR="00E14CB8" w:rsidRPr="006F0D7E">
        <w:rPr>
          <w:i/>
          <w:iCs/>
        </w:rPr>
        <w:t>minato la completezza dell’imposta patrimoniale: l’esenzione concessa ad alcuni tipi di risorse quali quelle legate al business o a certe forme di proprietà immobiliare, limiti alla tassazione fondati sul reddito dichiarato oppure proprio la cancellazione dell’imposta sul patrimonio.</w:t>
      </w:r>
    </w:p>
    <w:p w14:paraId="2C83AB2C" w14:textId="524A9385" w:rsidR="00E14CB8" w:rsidRPr="006F0D7E" w:rsidRDefault="00E14CB8" w:rsidP="008E075B">
      <w:pPr>
        <w:pStyle w:val="Paragrafoelenco"/>
        <w:ind w:left="1080"/>
        <w:rPr>
          <w:i/>
          <w:iCs/>
        </w:rPr>
      </w:pPr>
    </w:p>
    <w:p w14:paraId="120A3BAC" w14:textId="5D6A7CF7" w:rsidR="00E14CB8" w:rsidRPr="006F0D7E" w:rsidRDefault="00E14CB8" w:rsidP="008E075B">
      <w:pPr>
        <w:pStyle w:val="Paragrafoelenco"/>
        <w:ind w:left="1080"/>
        <w:rPr>
          <w:i/>
          <w:iCs/>
        </w:rPr>
      </w:pPr>
      <w:r w:rsidRPr="006F0D7E">
        <w:rPr>
          <w:i/>
          <w:iCs/>
        </w:rPr>
        <w:t xml:space="preserve">Una moderna imposta patrimoniale può superare queste tre debolezze. Innanzitutto </w:t>
      </w:r>
      <w:r w:rsidRPr="006F0D7E">
        <w:rPr>
          <w:i/>
          <w:iCs/>
        </w:rPr>
        <w:t>l’evasione dovuta</w:t>
      </w:r>
      <w:r w:rsidRPr="006F0D7E">
        <w:rPr>
          <w:i/>
          <w:iCs/>
        </w:rPr>
        <w:t xml:space="preserve"> al trasferimento del patrimonio nei paradisi fiscali può essere più efficacemente combattuta </w:t>
      </w:r>
      <w:r w:rsidRPr="006F0D7E">
        <w:rPr>
          <w:i/>
          <w:iCs/>
        </w:rPr>
        <w:t>oggi</w:t>
      </w:r>
      <w:r w:rsidRPr="006F0D7E">
        <w:rPr>
          <w:i/>
          <w:iCs/>
        </w:rPr>
        <w:t xml:space="preserve"> che in passato grazie a una recente svolta nello scambio di informazioni fra i paesi. In secondo luogo una tassa sul patrimonio complessivo con</w:t>
      </w:r>
      <w:r w:rsidR="007B034D" w:rsidRPr="006F0D7E">
        <w:rPr>
          <w:i/>
          <w:iCs/>
        </w:rPr>
        <w:t xml:space="preserve"> una soglia di esenzione elevata e nessun trattamento preferenziale per nessun tipo di risorsa può ridurre fortemente le possibilità di aggiramento e rivolgersi a quei contribuenti veramente ricchi che per definizione non hanno problemi di liquidità. In terzo luogo, utilizzando le moderne tecnologie informatiche, le autorità fiscali hanno la possibilità di raccogliere informazioni sui valori di mercato della maggior parte delle forme di ricchezza privata e di utilizzare queste informazioni</w:t>
      </w:r>
      <w:r w:rsidR="007447BC" w:rsidRPr="006F0D7E">
        <w:rPr>
          <w:i/>
          <w:iCs/>
        </w:rPr>
        <w:t xml:space="preserve"> per predeterminare il gettito dell’imposta e ridurre al minimo le possibilità di evasione. Di fatto le recenti proposte di imposta patrimoniale negli USA hanno una soglia di esenzione elevata (50 milioni di USD invece di 1 milione o anche meno per l’Europa), una base imponibile completa, nessuna esenzione e una politica di contrasto aggressiva.</w:t>
      </w:r>
    </w:p>
    <w:p w14:paraId="5948EC31" w14:textId="5D99F32F" w:rsidR="007447BC" w:rsidRDefault="007447BC" w:rsidP="008E075B">
      <w:pPr>
        <w:pStyle w:val="Paragrafoelenco"/>
        <w:ind w:left="1080"/>
      </w:pPr>
    </w:p>
    <w:p w14:paraId="761334AD" w14:textId="59D8D28C" w:rsidR="007447BC" w:rsidRDefault="007447BC" w:rsidP="008E075B">
      <w:pPr>
        <w:pStyle w:val="Paragrafoelenco"/>
        <w:ind w:left="1080"/>
      </w:pPr>
    </w:p>
    <w:p w14:paraId="6E122EE1" w14:textId="3F95809D" w:rsidR="007447BC" w:rsidRDefault="006F0D7E" w:rsidP="007447BC">
      <w:pPr>
        <w:pStyle w:val="Paragrafoelenco"/>
        <w:numPr>
          <w:ilvl w:val="0"/>
          <w:numId w:val="1"/>
        </w:numPr>
        <w:rPr>
          <w:b/>
          <w:bCs/>
        </w:rPr>
      </w:pPr>
      <w:r w:rsidRPr="006F0D7E">
        <w:rPr>
          <w:b/>
          <w:bCs/>
        </w:rPr>
        <w:lastRenderedPageBreak/>
        <w:t xml:space="preserve">Tassare le multinazionali o </w:t>
      </w:r>
      <w:r w:rsidR="00A47B55">
        <w:rPr>
          <w:b/>
          <w:bCs/>
        </w:rPr>
        <w:t xml:space="preserve">i </w:t>
      </w:r>
      <w:r w:rsidRPr="006F0D7E">
        <w:rPr>
          <w:b/>
          <w:bCs/>
        </w:rPr>
        <w:t>ricchi?</w:t>
      </w:r>
    </w:p>
    <w:p w14:paraId="1974549B" w14:textId="77777777" w:rsidR="00A47B55" w:rsidRPr="006F0D7E" w:rsidRDefault="00A47B55" w:rsidP="00A47B55">
      <w:pPr>
        <w:pStyle w:val="Paragrafoelenco"/>
        <w:rPr>
          <w:b/>
          <w:bCs/>
        </w:rPr>
      </w:pPr>
    </w:p>
    <w:p w14:paraId="73127772" w14:textId="267D4D79" w:rsidR="006F0D7E" w:rsidRDefault="006F0D7E" w:rsidP="006F0D7E">
      <w:pPr>
        <w:pStyle w:val="Paragrafoelenco"/>
      </w:pPr>
    </w:p>
    <w:p w14:paraId="3011D494" w14:textId="235D849B" w:rsidR="006F0D7E" w:rsidRDefault="006F0D7E" w:rsidP="006F0D7E">
      <w:pPr>
        <w:pStyle w:val="Paragrafoelenco"/>
      </w:pPr>
      <w:r>
        <w:t>3.</w:t>
      </w:r>
      <w:r w:rsidRPr="00A47B55">
        <w:t xml:space="preserve">1 </w:t>
      </w:r>
      <w:r w:rsidR="00A47B55">
        <w:t>I</w:t>
      </w:r>
      <w:r w:rsidRPr="00A47B55">
        <w:rPr>
          <w:u w:val="single"/>
        </w:rPr>
        <w:t>l ruolo delle imposte sulle multinazionali nella progressività del sistema fiscale</w:t>
      </w:r>
    </w:p>
    <w:p w14:paraId="75A1A5F7" w14:textId="31610860" w:rsidR="008E075B" w:rsidRDefault="008E075B" w:rsidP="008E075B">
      <w:pPr>
        <w:pStyle w:val="Paragrafoelenco"/>
        <w:ind w:left="1080"/>
      </w:pPr>
    </w:p>
    <w:p w14:paraId="728B0A56" w14:textId="4474453B" w:rsidR="00A47B55" w:rsidRDefault="00A47B55" w:rsidP="008E075B">
      <w:pPr>
        <w:pStyle w:val="Paragrafoelenco"/>
        <w:ind w:left="1080"/>
      </w:pPr>
      <w:r>
        <w:t xml:space="preserve">Uno degli sviluppi più significativi della politica discale negli ultimi decenni è stata la riduzione, a partire dal 1980, dell’imposta sui profitti delle aziende: dal 1985 al 2018 legale globale media secondo cui tassare i profitti aziendali si è ridotta dal 49% al 24% e questo processo non </w:t>
      </w:r>
      <w:r w:rsidR="008802C5">
        <w:t>sembra dover cambiare. Dal 2013 il Giappone ha ridotto l’aliquota dal 40% al 31%, gli USA dal 35% al 21%, l’Italia dal 31% al 24%, l’Ungheria dal 19% al 9%.</w:t>
      </w:r>
    </w:p>
    <w:p w14:paraId="3B90C6EB" w14:textId="3C2C0115" w:rsidR="008802C5" w:rsidRDefault="008802C5" w:rsidP="008E075B">
      <w:pPr>
        <w:pStyle w:val="Paragrafoelenco"/>
        <w:ind w:left="1080"/>
      </w:pPr>
    </w:p>
    <w:p w14:paraId="7F32690D" w14:textId="0BE70E00" w:rsidR="008802C5" w:rsidRDefault="008802C5" w:rsidP="008E075B">
      <w:pPr>
        <w:pStyle w:val="Paragrafoelenco"/>
        <w:ind w:left="1080"/>
      </w:pPr>
      <w:r>
        <w:t xml:space="preserve">Assieme all’imposta patrimoniale individuale, l’imposta sui profitti delle multinazionali ha ricevuto molta attenzione in questi ultimi tempi, e ciò non sorprende perché i miliardari e le multinazionali sono gli attori, sulla scena economica mondiale, che hanno maggiormente accresciuto la propria prosperità anche in tempo di covid. Tanto che è difficile immaginare una efficace riforma del sistema fiscale senza includere </w:t>
      </w:r>
      <w:r w:rsidR="00314DE8">
        <w:t>una profonda riforma della tassa progressiva sui patrimoni individuali dei più ricchi e sui profitti delle multinazionali.</w:t>
      </w:r>
    </w:p>
    <w:p w14:paraId="3A10C355" w14:textId="30226999" w:rsidR="00314DE8" w:rsidRDefault="00314DE8" w:rsidP="008E075B">
      <w:pPr>
        <w:pStyle w:val="Paragrafoelenco"/>
        <w:ind w:left="1080"/>
      </w:pPr>
    </w:p>
    <w:p w14:paraId="3339E4A1" w14:textId="167A2E90" w:rsidR="00314DE8" w:rsidRDefault="00314DE8" w:rsidP="008E075B">
      <w:pPr>
        <w:pStyle w:val="Paragrafoelenco"/>
        <w:ind w:left="1080"/>
      </w:pPr>
      <w:r>
        <w:t>A al proposito bisogna fare alcune considerazioni. Innanzitutto la tassa sui profitti delle multinazionali è uno strumento spuntato per accrescere la progressività del sistema fiscale perché viene prelevata con un’aliquota piatta. Si potrebbe immaginare un sistema di aliquote progressivamente crescenti al crescere dei profitti, ma il principale ostacolo sarebbe la suddivisione dell’azienda in aziende più piccole con conseguente suddivisione anche degli utili, che quindi sarebbero tassati ad aliquote inferiori. Inoltre non sempre i proprietari delle grandissime aziende sono più ricchi di chi possiede aziende assai più piccole: i fondi pensione per la classe media possono essere azionisti di rilievo di grandi aziende multinazionali</w:t>
      </w:r>
      <w:r w:rsidR="002502B0">
        <w:t>, mentre pochi super-ricchi possono possedere piccole start-up estremamente profittevoli.</w:t>
      </w:r>
    </w:p>
    <w:p w14:paraId="6858FE03" w14:textId="3915B6AC" w:rsidR="002502B0" w:rsidRDefault="002502B0" w:rsidP="008E075B">
      <w:pPr>
        <w:pStyle w:val="Paragrafoelenco"/>
        <w:ind w:left="1080"/>
      </w:pPr>
    </w:p>
    <w:p w14:paraId="110DA873" w14:textId="2D6DE674" w:rsidR="002502B0" w:rsidRDefault="002502B0" w:rsidP="008E075B">
      <w:pPr>
        <w:pStyle w:val="Paragrafoelenco"/>
        <w:ind w:left="1080"/>
      </w:pPr>
      <w:r>
        <w:t>In secondo luogo non tutti i profitti sono soggetti a tassazione: vi sono asset che, nelle varie legislazioni nazionali, sono tassati come proprietà individuali. In terzo luogo la progressività del sistema di tassazione dei profitti delle multinazionali dipende dalla concentrazione della ricchezza finanziaria: una più accentuata disuguaglianza di ricchezza è tipicamente associata con una più elevata concentrazione del patr</w:t>
      </w:r>
      <w:r w:rsidR="00A56E20">
        <w:t>i</w:t>
      </w:r>
      <w:r>
        <w:t>monio azionario.</w:t>
      </w:r>
    </w:p>
    <w:p w14:paraId="6C2EC09C" w14:textId="58A02405" w:rsidR="00A56E20" w:rsidRDefault="00A56E20" w:rsidP="008E075B">
      <w:pPr>
        <w:pStyle w:val="Paragrafoelenco"/>
        <w:ind w:left="1080"/>
      </w:pPr>
    </w:p>
    <w:p w14:paraId="1292BDB1" w14:textId="5F0D7085" w:rsidR="00A56E20" w:rsidRDefault="00A56E20" w:rsidP="008E075B">
      <w:pPr>
        <w:pStyle w:val="Paragrafoelenco"/>
        <w:ind w:left="1080"/>
      </w:pPr>
      <w:r>
        <w:t>Infine, ed è forse la considerazione più importante, la tassa sui profitti aziendali agisce come un freno: impedisce che i ricchi sottraggano parte del proprio reddito all’imposizione progressiva mascherandola come redditi aziendali di un’azienda di loro proprietà. In conclusione l’imposta sui profitti aziendali e l’imposta personale sul reddito sono complementari</w:t>
      </w:r>
      <w:r w:rsidR="005B2EDE">
        <w:t>: è difficile avere un’efficace imposta progressiva sui redditi senza avere anche una tassa sui profitti aziendali sufficientemente elevata.</w:t>
      </w:r>
    </w:p>
    <w:p w14:paraId="21A28425" w14:textId="14094D1C" w:rsidR="000062A3" w:rsidRDefault="000062A3" w:rsidP="008E075B">
      <w:pPr>
        <w:pStyle w:val="Paragrafoelenco"/>
        <w:ind w:left="1080"/>
      </w:pPr>
    </w:p>
    <w:p w14:paraId="43DFF893" w14:textId="024FEB3C" w:rsidR="00CA41B0" w:rsidRDefault="00CA41B0" w:rsidP="008E075B">
      <w:pPr>
        <w:pStyle w:val="Paragrafoelenco"/>
        <w:ind w:left="1080"/>
      </w:pPr>
    </w:p>
    <w:p w14:paraId="4F000961" w14:textId="4F74AB00" w:rsidR="00CA41B0" w:rsidRDefault="00CA41B0" w:rsidP="008E075B">
      <w:pPr>
        <w:pStyle w:val="Paragrafoelenco"/>
        <w:ind w:left="1080"/>
      </w:pPr>
    </w:p>
    <w:p w14:paraId="49D10AE5" w14:textId="77777777" w:rsidR="00CA41B0" w:rsidRDefault="00CA41B0" w:rsidP="008E075B">
      <w:pPr>
        <w:pStyle w:val="Paragrafoelenco"/>
        <w:ind w:left="1080"/>
      </w:pPr>
    </w:p>
    <w:p w14:paraId="0AF49ACA" w14:textId="64E2F4E6" w:rsidR="000062A3" w:rsidRDefault="000062A3" w:rsidP="008E075B">
      <w:pPr>
        <w:pStyle w:val="Paragrafoelenco"/>
        <w:ind w:left="1080"/>
      </w:pPr>
    </w:p>
    <w:p w14:paraId="71D9FA43" w14:textId="363259FE" w:rsidR="000062A3" w:rsidRPr="000062A3" w:rsidRDefault="000062A3" w:rsidP="000062A3">
      <w:pPr>
        <w:pStyle w:val="Paragrafoelenco"/>
        <w:ind w:left="708"/>
        <w:rPr>
          <w:u w:val="single"/>
        </w:rPr>
      </w:pPr>
      <w:r>
        <w:t xml:space="preserve">3.2 </w:t>
      </w:r>
      <w:r w:rsidRPr="000062A3">
        <w:rPr>
          <w:u w:val="single"/>
        </w:rPr>
        <w:t xml:space="preserve">Le promesse e </w:t>
      </w:r>
      <w:r w:rsidR="00E11E77">
        <w:rPr>
          <w:u w:val="single"/>
        </w:rPr>
        <w:t xml:space="preserve">i trabocchetti </w:t>
      </w:r>
      <w:r w:rsidRPr="000062A3">
        <w:rPr>
          <w:u w:val="single"/>
        </w:rPr>
        <w:t>della tassa minima</w:t>
      </w:r>
    </w:p>
    <w:p w14:paraId="03A538FE" w14:textId="748809EA" w:rsidR="000062A3" w:rsidRDefault="000062A3" w:rsidP="000062A3">
      <w:pPr>
        <w:pStyle w:val="Paragrafoelenco"/>
        <w:ind w:left="1416"/>
      </w:pPr>
    </w:p>
    <w:p w14:paraId="21F14534" w14:textId="79928CE1" w:rsidR="000062A3" w:rsidRDefault="000062A3" w:rsidP="006913D3">
      <w:pPr>
        <w:pStyle w:val="Paragrafoelenco"/>
        <w:ind w:left="708" w:firstLine="708"/>
      </w:pPr>
      <w:r>
        <w:t>Nel giugno del 2021</w:t>
      </w:r>
      <w:r w:rsidR="00E11E77">
        <w:t xml:space="preserve"> più di 130 paesi hanno concordato che i profitti delle multinazionali </w:t>
      </w:r>
      <w:r w:rsidR="00E11E77">
        <w:t>dovrebbero essere soggetti</w:t>
      </w:r>
      <w:r w:rsidR="00E11E77">
        <w:t xml:space="preserve"> a una tassa minima del 15%. Non sono ancora definiti tutti i dettagli di </w:t>
      </w:r>
      <w:r w:rsidR="00E11E77">
        <w:lastRenderedPageBreak/>
        <w:t xml:space="preserve">questo accordo, che potrebbe rappresentare una pietra miliare perché sarebbe il primo accordo internazionale che fissa un limite a quanto basse possono essere le aliquote a cui </w:t>
      </w:r>
      <w:r w:rsidR="00915AC3">
        <w:t>tali profitti sono soggetti.</w:t>
      </w:r>
    </w:p>
    <w:p w14:paraId="06337CB7" w14:textId="78C19364" w:rsidR="00915AC3" w:rsidRDefault="00915AC3" w:rsidP="00E11E77">
      <w:pPr>
        <w:pStyle w:val="Paragrafoelenco"/>
        <w:ind w:left="708" w:firstLine="708"/>
      </w:pPr>
      <w:r>
        <w:t xml:space="preserve">Una tassa minima di questo tipo, se fosse ben resa operativa, annullerebbe gli incentivi, per i vari paesi, ad offrire aliquote inferiori al 15% e ciò attenuerebbe le forme più estreme di competizione fiscale, cioè scoraggerebbe alcuni paesi dall’offrire aliquote legali pari a o vicine allo zero: attualmente si stima che circa il 36% dei profitti delle multinazionali </w:t>
      </w:r>
      <w:r w:rsidR="004C08ED">
        <w:t>sia</w:t>
      </w:r>
      <w:r>
        <w:t xml:space="preserve"> trasferito nei paradisi fiscali.</w:t>
      </w:r>
    </w:p>
    <w:p w14:paraId="55728CE4" w14:textId="2693DFFF" w:rsidR="006913D3" w:rsidRDefault="006913D3" w:rsidP="00E11E77">
      <w:pPr>
        <w:pStyle w:val="Paragrafoelenco"/>
        <w:ind w:left="708" w:firstLine="708"/>
      </w:pPr>
    </w:p>
    <w:p w14:paraId="1204FE6D" w14:textId="003E6C8A" w:rsidR="006913D3" w:rsidRDefault="006913D3" w:rsidP="00E11E77">
      <w:pPr>
        <w:pStyle w:val="Paragrafoelenco"/>
        <w:ind w:left="708" w:firstLine="708"/>
      </w:pPr>
      <w:r>
        <w:t>Tuttavia questo importante accordo ha alcuni punti deboli. In primo luogo l’aliquota del 15% è, nei paesi sviluppati, più bassa dell’aliquota minima che i ceti medi e i lavoratori pagano sui propri redditi, ed è anche mediamente più bassa dell’aliquota applicata alle multinazionali in questi stessi paesi.</w:t>
      </w:r>
      <w:r w:rsidR="00022BF2">
        <w:t xml:space="preserve"> Ciò genera il rischio che un punto di riferimento così basso inneschi un’ulteriore riduzione delle aliquote legali applicate ai profitti delle multinazionali in quei paesi che attualmente applicano aliquote più elevate. Un’aliquota minima del 25% ridurrebbe questo rischio.</w:t>
      </w:r>
    </w:p>
    <w:p w14:paraId="75D69570" w14:textId="442FE971" w:rsidR="00022BF2" w:rsidRDefault="00022BF2" w:rsidP="00E11E77">
      <w:pPr>
        <w:pStyle w:val="Paragrafoelenco"/>
        <w:ind w:left="708" w:firstLine="708"/>
      </w:pPr>
    </w:p>
    <w:p w14:paraId="7D1B70BC" w14:textId="1BA348E2" w:rsidR="00022BF2" w:rsidRDefault="00022BF2" w:rsidP="00E11E77">
      <w:pPr>
        <w:pStyle w:val="Paragrafoelenco"/>
        <w:ind w:left="708" w:firstLine="708"/>
      </w:pPr>
      <w:r>
        <w:t>In secondo luogo la bozza di accordo consente di dedurre dalla base imponibile una parte dei profitti, consentendo così alle aziende che hanno attività nei paesi a bassa tassazione di essere esenti dalla tassa minima. Più specificamente l’accordo proposto prevede che le aziende possano dedurre dalla loro base imponibile fino al 5% del valore dei loro asset e del costo del lavoro in ciascun paese. Si incentivano quindi le aziende a spostare capitale e personale nei paesi a bassa tassazione evitando di pagare la tassa minima.</w:t>
      </w:r>
    </w:p>
    <w:p w14:paraId="622FC9D6" w14:textId="5E5EF85F" w:rsidR="00022BF2" w:rsidRDefault="00022BF2" w:rsidP="00E11E77">
      <w:pPr>
        <w:pStyle w:val="Paragrafoelenco"/>
        <w:ind w:left="708" w:firstLine="708"/>
      </w:pPr>
    </w:p>
    <w:p w14:paraId="7C6B4859" w14:textId="55CEB0B9" w:rsidR="00022BF2" w:rsidRDefault="00022BF2" w:rsidP="00E11E77">
      <w:pPr>
        <w:pStyle w:val="Paragrafoelenco"/>
        <w:ind w:left="708" w:firstLine="708"/>
      </w:pPr>
      <w:r>
        <w:t>Infine la bozza di accordo prevede la possibilità</w:t>
      </w:r>
      <w:r w:rsidR="00142EEC">
        <w:t xml:space="preserve"> per le aziende di ricorrere, riservatamente, a un arbitrato, e l’esperienza insegna che “chi decide” può essere anche più importante del</w:t>
      </w:r>
      <w:r w:rsidR="006920B8">
        <w:t>l</w:t>
      </w:r>
      <w:r w:rsidR="00142EEC">
        <w:t>e stesse regole scritte</w:t>
      </w:r>
      <w:r w:rsidR="006920B8">
        <w:t xml:space="preserve">: gli arbitri, che agiscono al riparo dallo sguardo dell’opinione pubblica e che sono </w:t>
      </w:r>
      <w:r w:rsidR="004C08ED">
        <w:t xml:space="preserve">scelti e </w:t>
      </w:r>
      <w:r w:rsidR="006920B8">
        <w:t>pagati caso per caso, sono incentivati a interpretare le regole in favore delle multinazionali e a creare le premesse per nuovi arbitrati. È dunque indispensabile che vi sia un meccanismo legale per dirimere le controversie basato sul diritto internazionale e gestito da giudici di ruolo.</w:t>
      </w:r>
    </w:p>
    <w:p w14:paraId="32B37247" w14:textId="2933C9D0" w:rsidR="006920B8" w:rsidRDefault="006920B8" w:rsidP="00E11E77">
      <w:pPr>
        <w:pStyle w:val="Paragrafoelenco"/>
        <w:ind w:left="708" w:firstLine="708"/>
      </w:pPr>
    </w:p>
    <w:p w14:paraId="42D1F6FF" w14:textId="59F689F7" w:rsidR="006920B8" w:rsidRDefault="006920B8" w:rsidP="00E11E77">
      <w:pPr>
        <w:pStyle w:val="Paragrafoelenco"/>
        <w:ind w:left="708" w:firstLine="708"/>
      </w:pPr>
      <w:r>
        <w:t xml:space="preserve">Per concludere, di quali somme stiamo parlando? </w:t>
      </w:r>
      <w:r w:rsidR="00167502">
        <w:t>Quale può essere, per i singoli stati, il gettito di una tassa sulle multinazionali? La seguente tabella</w:t>
      </w:r>
      <w:r w:rsidR="00167502">
        <w:rPr>
          <w:rStyle w:val="Rimandonotaapidipagina"/>
        </w:rPr>
        <w:footnoteReference w:id="8"/>
      </w:r>
      <w:r w:rsidR="00167502">
        <w:t xml:space="preserve"> risponde a queste domande; in essa il gettito annuo è espresso in miliardi di €, le colonne A e B si riferiscono a un’aliquota minima del 15% rispettivamente senza alcun abbattimento della base imponibile e con un abbattimento del 5%, le colonne A1 e B1 si riferiscono a un’aliquota minima del 25% rispettivamente senza e con abbattimento del 5%.</w:t>
      </w:r>
    </w:p>
    <w:p w14:paraId="6217BD18" w14:textId="43BE1EEE" w:rsidR="00167502" w:rsidRDefault="00167502" w:rsidP="00E11E77">
      <w:pPr>
        <w:pStyle w:val="Paragrafoelenco"/>
        <w:ind w:left="708" w:firstLine="708"/>
      </w:pPr>
    </w:p>
    <w:tbl>
      <w:tblPr>
        <w:tblW w:w="6700" w:type="dxa"/>
        <w:tblInd w:w="1346" w:type="dxa"/>
        <w:tblCellMar>
          <w:left w:w="70" w:type="dxa"/>
          <w:right w:w="70" w:type="dxa"/>
        </w:tblCellMar>
        <w:tblLook w:val="04A0" w:firstRow="1" w:lastRow="0" w:firstColumn="1" w:lastColumn="0" w:noHBand="0" w:noVBand="1"/>
      </w:tblPr>
      <w:tblGrid>
        <w:gridCol w:w="700"/>
        <w:gridCol w:w="1460"/>
        <w:gridCol w:w="1380"/>
        <w:gridCol w:w="220"/>
        <w:gridCol w:w="1480"/>
        <w:gridCol w:w="1460"/>
      </w:tblGrid>
      <w:tr w:rsidR="00167502" w:rsidRPr="00167502" w14:paraId="656BEB1B" w14:textId="77777777" w:rsidTr="00167502">
        <w:trPr>
          <w:trHeight w:val="225"/>
        </w:trPr>
        <w:tc>
          <w:tcPr>
            <w:tcW w:w="700" w:type="dxa"/>
            <w:tcBorders>
              <w:top w:val="nil"/>
              <w:left w:val="nil"/>
              <w:bottom w:val="nil"/>
              <w:right w:val="nil"/>
            </w:tcBorders>
            <w:shd w:val="clear" w:color="auto" w:fill="auto"/>
            <w:noWrap/>
            <w:vAlign w:val="bottom"/>
            <w:hideMark/>
          </w:tcPr>
          <w:p w14:paraId="4F85C819" w14:textId="77777777" w:rsidR="00167502" w:rsidRPr="00167502" w:rsidRDefault="00167502" w:rsidP="00167502">
            <w:pPr>
              <w:spacing w:after="0" w:line="240" w:lineRule="auto"/>
              <w:rPr>
                <w:rFonts w:ascii="Times New Roman" w:eastAsia="Times New Roman" w:hAnsi="Times New Roman" w:cs="Times New Roman"/>
                <w:sz w:val="24"/>
                <w:szCs w:val="24"/>
                <w:lang w:eastAsia="it-IT"/>
              </w:rPr>
            </w:pPr>
          </w:p>
        </w:tc>
        <w:tc>
          <w:tcPr>
            <w:tcW w:w="1460" w:type="dxa"/>
            <w:tcBorders>
              <w:top w:val="nil"/>
              <w:left w:val="nil"/>
              <w:bottom w:val="nil"/>
              <w:right w:val="nil"/>
            </w:tcBorders>
            <w:shd w:val="clear" w:color="auto" w:fill="auto"/>
            <w:noWrap/>
            <w:vAlign w:val="bottom"/>
            <w:hideMark/>
          </w:tcPr>
          <w:p w14:paraId="5A5A3D9F" w14:textId="77777777" w:rsidR="00167502" w:rsidRPr="00167502" w:rsidRDefault="00167502" w:rsidP="00167502">
            <w:pPr>
              <w:spacing w:after="0" w:line="240" w:lineRule="auto"/>
              <w:jc w:val="center"/>
              <w:rPr>
                <w:rFonts w:ascii="Calibri" w:eastAsia="Times New Roman" w:hAnsi="Calibri" w:cs="Calibri"/>
                <w:b/>
                <w:bCs/>
                <w:color w:val="000000"/>
                <w:sz w:val="16"/>
                <w:szCs w:val="16"/>
                <w:lang w:eastAsia="it-IT"/>
              </w:rPr>
            </w:pPr>
            <w:r w:rsidRPr="00167502">
              <w:rPr>
                <w:rFonts w:ascii="Calibri" w:eastAsia="Times New Roman" w:hAnsi="Calibri" w:cs="Calibri"/>
                <w:b/>
                <w:bCs/>
                <w:color w:val="000000"/>
                <w:sz w:val="16"/>
                <w:szCs w:val="16"/>
                <w:lang w:eastAsia="it-IT"/>
              </w:rPr>
              <w:t xml:space="preserve"> A</w:t>
            </w:r>
          </w:p>
        </w:tc>
        <w:tc>
          <w:tcPr>
            <w:tcW w:w="1380" w:type="dxa"/>
            <w:tcBorders>
              <w:top w:val="nil"/>
              <w:left w:val="nil"/>
              <w:bottom w:val="nil"/>
              <w:right w:val="nil"/>
            </w:tcBorders>
            <w:shd w:val="clear" w:color="auto" w:fill="auto"/>
            <w:noWrap/>
            <w:vAlign w:val="bottom"/>
            <w:hideMark/>
          </w:tcPr>
          <w:p w14:paraId="52FAF519" w14:textId="77777777" w:rsidR="00167502" w:rsidRPr="00167502" w:rsidRDefault="00167502" w:rsidP="00167502">
            <w:pPr>
              <w:spacing w:after="0" w:line="240" w:lineRule="auto"/>
              <w:jc w:val="center"/>
              <w:rPr>
                <w:rFonts w:ascii="Calibri" w:eastAsia="Times New Roman" w:hAnsi="Calibri" w:cs="Calibri"/>
                <w:b/>
                <w:bCs/>
                <w:color w:val="000000"/>
                <w:sz w:val="16"/>
                <w:szCs w:val="16"/>
                <w:lang w:eastAsia="it-IT"/>
              </w:rPr>
            </w:pPr>
            <w:r w:rsidRPr="00167502">
              <w:rPr>
                <w:rFonts w:ascii="Calibri" w:eastAsia="Times New Roman" w:hAnsi="Calibri" w:cs="Calibri"/>
                <w:b/>
                <w:bCs/>
                <w:color w:val="000000"/>
                <w:sz w:val="16"/>
                <w:szCs w:val="16"/>
                <w:lang w:eastAsia="it-IT"/>
              </w:rPr>
              <w:t>B</w:t>
            </w:r>
          </w:p>
        </w:tc>
        <w:tc>
          <w:tcPr>
            <w:tcW w:w="220" w:type="dxa"/>
            <w:tcBorders>
              <w:top w:val="nil"/>
              <w:left w:val="nil"/>
              <w:bottom w:val="nil"/>
              <w:right w:val="nil"/>
            </w:tcBorders>
            <w:shd w:val="clear" w:color="auto" w:fill="auto"/>
            <w:noWrap/>
            <w:vAlign w:val="bottom"/>
            <w:hideMark/>
          </w:tcPr>
          <w:p w14:paraId="00998EFC" w14:textId="77777777" w:rsidR="00167502" w:rsidRPr="00167502" w:rsidRDefault="00167502" w:rsidP="00167502">
            <w:pPr>
              <w:spacing w:after="0" w:line="240" w:lineRule="auto"/>
              <w:jc w:val="center"/>
              <w:rPr>
                <w:rFonts w:ascii="Calibri" w:eastAsia="Times New Roman" w:hAnsi="Calibri" w:cs="Calibri"/>
                <w:b/>
                <w:bCs/>
                <w:color w:val="000000"/>
                <w:sz w:val="16"/>
                <w:szCs w:val="16"/>
                <w:lang w:eastAsia="it-IT"/>
              </w:rPr>
            </w:pPr>
          </w:p>
        </w:tc>
        <w:tc>
          <w:tcPr>
            <w:tcW w:w="1480" w:type="dxa"/>
            <w:tcBorders>
              <w:top w:val="nil"/>
              <w:left w:val="nil"/>
              <w:bottom w:val="nil"/>
              <w:right w:val="nil"/>
            </w:tcBorders>
            <w:shd w:val="clear" w:color="auto" w:fill="auto"/>
            <w:noWrap/>
            <w:vAlign w:val="bottom"/>
            <w:hideMark/>
          </w:tcPr>
          <w:p w14:paraId="1E0F174A" w14:textId="77777777" w:rsidR="00167502" w:rsidRPr="00167502" w:rsidRDefault="00167502" w:rsidP="00167502">
            <w:pPr>
              <w:spacing w:after="0" w:line="240" w:lineRule="auto"/>
              <w:jc w:val="center"/>
              <w:rPr>
                <w:rFonts w:ascii="Calibri" w:eastAsia="Times New Roman" w:hAnsi="Calibri" w:cs="Calibri"/>
                <w:b/>
                <w:bCs/>
                <w:color w:val="000000"/>
                <w:sz w:val="16"/>
                <w:szCs w:val="16"/>
                <w:lang w:eastAsia="it-IT"/>
              </w:rPr>
            </w:pPr>
            <w:r w:rsidRPr="00167502">
              <w:rPr>
                <w:rFonts w:ascii="Calibri" w:eastAsia="Times New Roman" w:hAnsi="Calibri" w:cs="Calibri"/>
                <w:b/>
                <w:bCs/>
                <w:color w:val="000000"/>
                <w:sz w:val="16"/>
                <w:szCs w:val="16"/>
                <w:lang w:eastAsia="it-IT"/>
              </w:rPr>
              <w:t>A1</w:t>
            </w:r>
          </w:p>
        </w:tc>
        <w:tc>
          <w:tcPr>
            <w:tcW w:w="1460" w:type="dxa"/>
            <w:tcBorders>
              <w:top w:val="nil"/>
              <w:left w:val="nil"/>
              <w:bottom w:val="nil"/>
              <w:right w:val="nil"/>
            </w:tcBorders>
            <w:shd w:val="clear" w:color="auto" w:fill="auto"/>
            <w:noWrap/>
            <w:vAlign w:val="bottom"/>
            <w:hideMark/>
          </w:tcPr>
          <w:p w14:paraId="43FD3F23" w14:textId="77777777" w:rsidR="00167502" w:rsidRPr="00167502" w:rsidRDefault="00167502" w:rsidP="00167502">
            <w:pPr>
              <w:spacing w:after="0" w:line="240" w:lineRule="auto"/>
              <w:jc w:val="center"/>
              <w:rPr>
                <w:rFonts w:ascii="Calibri" w:eastAsia="Times New Roman" w:hAnsi="Calibri" w:cs="Calibri"/>
                <w:b/>
                <w:bCs/>
                <w:color w:val="000000"/>
                <w:sz w:val="16"/>
                <w:szCs w:val="16"/>
                <w:lang w:eastAsia="it-IT"/>
              </w:rPr>
            </w:pPr>
            <w:r w:rsidRPr="00167502">
              <w:rPr>
                <w:rFonts w:ascii="Calibri" w:eastAsia="Times New Roman" w:hAnsi="Calibri" w:cs="Calibri"/>
                <w:b/>
                <w:bCs/>
                <w:color w:val="000000"/>
                <w:sz w:val="16"/>
                <w:szCs w:val="16"/>
                <w:lang w:eastAsia="it-IT"/>
              </w:rPr>
              <w:t>B1</w:t>
            </w:r>
          </w:p>
        </w:tc>
      </w:tr>
      <w:tr w:rsidR="00167502" w:rsidRPr="00167502" w14:paraId="309534AC" w14:textId="77777777" w:rsidTr="00167502">
        <w:trPr>
          <w:trHeight w:val="300"/>
        </w:trPr>
        <w:tc>
          <w:tcPr>
            <w:tcW w:w="700" w:type="dxa"/>
            <w:tcBorders>
              <w:top w:val="nil"/>
              <w:left w:val="nil"/>
              <w:bottom w:val="nil"/>
              <w:right w:val="nil"/>
            </w:tcBorders>
            <w:shd w:val="clear" w:color="auto" w:fill="auto"/>
            <w:noWrap/>
            <w:vAlign w:val="bottom"/>
            <w:hideMark/>
          </w:tcPr>
          <w:p w14:paraId="7827549B" w14:textId="77777777" w:rsidR="00167502" w:rsidRPr="00167502" w:rsidRDefault="00167502" w:rsidP="00167502">
            <w:pPr>
              <w:spacing w:after="0" w:line="240" w:lineRule="auto"/>
              <w:jc w:val="center"/>
              <w:rPr>
                <w:rFonts w:ascii="Calibri" w:eastAsia="Times New Roman" w:hAnsi="Calibri" w:cs="Calibri"/>
                <w:b/>
                <w:bCs/>
                <w:color w:val="000000"/>
                <w:sz w:val="16"/>
                <w:szCs w:val="16"/>
                <w:lang w:eastAsia="it-IT"/>
              </w:rPr>
            </w:pPr>
          </w:p>
        </w:tc>
        <w:tc>
          <w:tcPr>
            <w:tcW w:w="1460" w:type="dxa"/>
            <w:tcBorders>
              <w:top w:val="nil"/>
              <w:left w:val="nil"/>
              <w:bottom w:val="nil"/>
              <w:right w:val="nil"/>
            </w:tcBorders>
            <w:shd w:val="clear" w:color="auto" w:fill="auto"/>
            <w:noWrap/>
            <w:vAlign w:val="bottom"/>
            <w:hideMark/>
          </w:tcPr>
          <w:p w14:paraId="17E5AA6F" w14:textId="77777777" w:rsidR="00167502" w:rsidRPr="00167502" w:rsidRDefault="00167502" w:rsidP="00167502">
            <w:pPr>
              <w:spacing w:after="0" w:line="240" w:lineRule="auto"/>
              <w:rPr>
                <w:rFonts w:ascii="Times New Roman" w:eastAsia="Times New Roman" w:hAnsi="Times New Roman" w:cs="Times New Roman"/>
                <w:sz w:val="20"/>
                <w:szCs w:val="20"/>
                <w:lang w:eastAsia="it-IT"/>
              </w:rPr>
            </w:pPr>
          </w:p>
        </w:tc>
        <w:tc>
          <w:tcPr>
            <w:tcW w:w="1380" w:type="dxa"/>
            <w:tcBorders>
              <w:top w:val="nil"/>
              <w:left w:val="nil"/>
              <w:bottom w:val="nil"/>
              <w:right w:val="nil"/>
            </w:tcBorders>
            <w:shd w:val="clear" w:color="auto" w:fill="auto"/>
            <w:noWrap/>
            <w:vAlign w:val="bottom"/>
            <w:hideMark/>
          </w:tcPr>
          <w:p w14:paraId="60C81BFF" w14:textId="77777777" w:rsidR="00167502" w:rsidRPr="00167502" w:rsidRDefault="00167502" w:rsidP="00167502">
            <w:pPr>
              <w:spacing w:after="0" w:line="240" w:lineRule="auto"/>
              <w:rPr>
                <w:rFonts w:ascii="Times New Roman" w:eastAsia="Times New Roman" w:hAnsi="Times New Roman" w:cs="Times New Roman"/>
                <w:sz w:val="20"/>
                <w:szCs w:val="20"/>
                <w:lang w:eastAsia="it-IT"/>
              </w:rPr>
            </w:pPr>
          </w:p>
        </w:tc>
        <w:tc>
          <w:tcPr>
            <w:tcW w:w="220" w:type="dxa"/>
            <w:tcBorders>
              <w:top w:val="nil"/>
              <w:left w:val="nil"/>
              <w:bottom w:val="nil"/>
              <w:right w:val="nil"/>
            </w:tcBorders>
            <w:shd w:val="clear" w:color="auto" w:fill="auto"/>
            <w:noWrap/>
            <w:vAlign w:val="bottom"/>
            <w:hideMark/>
          </w:tcPr>
          <w:p w14:paraId="77E6DDE6" w14:textId="77777777" w:rsidR="00167502" w:rsidRPr="00167502" w:rsidRDefault="00167502" w:rsidP="00167502">
            <w:pPr>
              <w:spacing w:after="0" w:line="240" w:lineRule="auto"/>
              <w:rPr>
                <w:rFonts w:ascii="Times New Roman" w:eastAsia="Times New Roman" w:hAnsi="Times New Roman" w:cs="Times New Roman"/>
                <w:sz w:val="20"/>
                <w:szCs w:val="20"/>
                <w:lang w:eastAsia="it-IT"/>
              </w:rPr>
            </w:pPr>
          </w:p>
        </w:tc>
        <w:tc>
          <w:tcPr>
            <w:tcW w:w="1480" w:type="dxa"/>
            <w:tcBorders>
              <w:top w:val="nil"/>
              <w:left w:val="nil"/>
              <w:bottom w:val="nil"/>
              <w:right w:val="nil"/>
            </w:tcBorders>
            <w:shd w:val="clear" w:color="auto" w:fill="auto"/>
            <w:noWrap/>
            <w:vAlign w:val="bottom"/>
            <w:hideMark/>
          </w:tcPr>
          <w:p w14:paraId="6EDBBFB5" w14:textId="77777777" w:rsidR="00167502" w:rsidRPr="00167502" w:rsidRDefault="00167502" w:rsidP="00167502">
            <w:pPr>
              <w:spacing w:after="0" w:line="240" w:lineRule="auto"/>
              <w:rPr>
                <w:rFonts w:ascii="Times New Roman" w:eastAsia="Times New Roman" w:hAnsi="Times New Roman" w:cs="Times New Roman"/>
                <w:sz w:val="20"/>
                <w:szCs w:val="20"/>
                <w:lang w:eastAsia="it-IT"/>
              </w:rPr>
            </w:pPr>
          </w:p>
        </w:tc>
        <w:tc>
          <w:tcPr>
            <w:tcW w:w="1460" w:type="dxa"/>
            <w:tcBorders>
              <w:top w:val="nil"/>
              <w:left w:val="nil"/>
              <w:bottom w:val="nil"/>
              <w:right w:val="nil"/>
            </w:tcBorders>
            <w:shd w:val="clear" w:color="auto" w:fill="auto"/>
            <w:noWrap/>
            <w:vAlign w:val="bottom"/>
            <w:hideMark/>
          </w:tcPr>
          <w:p w14:paraId="7F566608" w14:textId="77777777" w:rsidR="00167502" w:rsidRPr="00167502" w:rsidRDefault="00167502" w:rsidP="00167502">
            <w:pPr>
              <w:spacing w:after="0" w:line="240" w:lineRule="auto"/>
              <w:rPr>
                <w:rFonts w:ascii="Times New Roman" w:eastAsia="Times New Roman" w:hAnsi="Times New Roman" w:cs="Times New Roman"/>
                <w:sz w:val="20"/>
                <w:szCs w:val="20"/>
                <w:lang w:eastAsia="it-IT"/>
              </w:rPr>
            </w:pPr>
          </w:p>
        </w:tc>
      </w:tr>
      <w:tr w:rsidR="00167502" w:rsidRPr="00167502" w14:paraId="3E30C79F" w14:textId="77777777" w:rsidTr="00167502">
        <w:trPr>
          <w:trHeight w:val="300"/>
        </w:trPr>
        <w:tc>
          <w:tcPr>
            <w:tcW w:w="700" w:type="dxa"/>
            <w:tcBorders>
              <w:top w:val="nil"/>
              <w:left w:val="nil"/>
              <w:bottom w:val="nil"/>
              <w:right w:val="nil"/>
            </w:tcBorders>
            <w:shd w:val="clear" w:color="auto" w:fill="auto"/>
            <w:noWrap/>
            <w:vAlign w:val="bottom"/>
            <w:hideMark/>
          </w:tcPr>
          <w:p w14:paraId="67127662" w14:textId="77777777" w:rsidR="00167502" w:rsidRPr="00167502" w:rsidRDefault="00167502" w:rsidP="00167502">
            <w:pPr>
              <w:spacing w:after="0" w:line="240" w:lineRule="auto"/>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Italia</w:t>
            </w:r>
          </w:p>
        </w:tc>
        <w:tc>
          <w:tcPr>
            <w:tcW w:w="1460" w:type="dxa"/>
            <w:tcBorders>
              <w:top w:val="nil"/>
              <w:left w:val="nil"/>
              <w:bottom w:val="nil"/>
              <w:right w:val="nil"/>
            </w:tcBorders>
            <w:shd w:val="clear" w:color="auto" w:fill="auto"/>
            <w:noWrap/>
            <w:vAlign w:val="bottom"/>
            <w:hideMark/>
          </w:tcPr>
          <w:p w14:paraId="4A548DE1"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2,7</w:t>
            </w:r>
          </w:p>
        </w:tc>
        <w:tc>
          <w:tcPr>
            <w:tcW w:w="1380" w:type="dxa"/>
            <w:tcBorders>
              <w:top w:val="nil"/>
              <w:left w:val="nil"/>
              <w:bottom w:val="nil"/>
              <w:right w:val="nil"/>
            </w:tcBorders>
            <w:shd w:val="clear" w:color="auto" w:fill="auto"/>
            <w:noWrap/>
            <w:vAlign w:val="bottom"/>
            <w:hideMark/>
          </w:tcPr>
          <w:p w14:paraId="28D3C961"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2,4</w:t>
            </w:r>
          </w:p>
        </w:tc>
        <w:tc>
          <w:tcPr>
            <w:tcW w:w="220" w:type="dxa"/>
            <w:tcBorders>
              <w:top w:val="nil"/>
              <w:left w:val="nil"/>
              <w:bottom w:val="nil"/>
              <w:right w:val="nil"/>
            </w:tcBorders>
            <w:shd w:val="clear" w:color="auto" w:fill="auto"/>
            <w:noWrap/>
            <w:vAlign w:val="bottom"/>
            <w:hideMark/>
          </w:tcPr>
          <w:p w14:paraId="5FE16381"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p>
        </w:tc>
        <w:tc>
          <w:tcPr>
            <w:tcW w:w="1480" w:type="dxa"/>
            <w:tcBorders>
              <w:top w:val="nil"/>
              <w:left w:val="nil"/>
              <w:bottom w:val="nil"/>
              <w:right w:val="nil"/>
            </w:tcBorders>
            <w:shd w:val="clear" w:color="auto" w:fill="auto"/>
            <w:noWrap/>
            <w:vAlign w:val="bottom"/>
            <w:hideMark/>
          </w:tcPr>
          <w:p w14:paraId="64B340D3"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11,1</w:t>
            </w:r>
          </w:p>
        </w:tc>
        <w:tc>
          <w:tcPr>
            <w:tcW w:w="1460" w:type="dxa"/>
            <w:tcBorders>
              <w:top w:val="nil"/>
              <w:left w:val="nil"/>
              <w:bottom w:val="nil"/>
              <w:right w:val="nil"/>
            </w:tcBorders>
            <w:shd w:val="clear" w:color="auto" w:fill="auto"/>
            <w:noWrap/>
            <w:vAlign w:val="bottom"/>
            <w:hideMark/>
          </w:tcPr>
          <w:p w14:paraId="4BCACD3F"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9,1</w:t>
            </w:r>
          </w:p>
        </w:tc>
      </w:tr>
      <w:tr w:rsidR="00167502" w:rsidRPr="00167502" w14:paraId="6D269908" w14:textId="77777777" w:rsidTr="00167502">
        <w:trPr>
          <w:trHeight w:val="300"/>
        </w:trPr>
        <w:tc>
          <w:tcPr>
            <w:tcW w:w="700" w:type="dxa"/>
            <w:tcBorders>
              <w:top w:val="nil"/>
              <w:left w:val="nil"/>
              <w:bottom w:val="nil"/>
              <w:right w:val="nil"/>
            </w:tcBorders>
            <w:shd w:val="clear" w:color="auto" w:fill="auto"/>
            <w:noWrap/>
            <w:vAlign w:val="bottom"/>
            <w:hideMark/>
          </w:tcPr>
          <w:p w14:paraId="70670184" w14:textId="77777777" w:rsidR="00167502" w:rsidRPr="00167502" w:rsidRDefault="00167502" w:rsidP="00167502">
            <w:pPr>
              <w:spacing w:after="0" w:line="240" w:lineRule="auto"/>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Francia</w:t>
            </w:r>
          </w:p>
        </w:tc>
        <w:tc>
          <w:tcPr>
            <w:tcW w:w="1460" w:type="dxa"/>
            <w:tcBorders>
              <w:top w:val="nil"/>
              <w:left w:val="nil"/>
              <w:bottom w:val="nil"/>
              <w:right w:val="nil"/>
            </w:tcBorders>
            <w:shd w:val="clear" w:color="auto" w:fill="auto"/>
            <w:noWrap/>
            <w:vAlign w:val="bottom"/>
            <w:hideMark/>
          </w:tcPr>
          <w:p w14:paraId="3AB20E3A"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4,3</w:t>
            </w:r>
          </w:p>
        </w:tc>
        <w:tc>
          <w:tcPr>
            <w:tcW w:w="1380" w:type="dxa"/>
            <w:tcBorders>
              <w:top w:val="nil"/>
              <w:left w:val="nil"/>
              <w:bottom w:val="nil"/>
              <w:right w:val="nil"/>
            </w:tcBorders>
            <w:shd w:val="clear" w:color="auto" w:fill="auto"/>
            <w:noWrap/>
            <w:vAlign w:val="bottom"/>
            <w:hideMark/>
          </w:tcPr>
          <w:p w14:paraId="5BD8A8DA"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3,8</w:t>
            </w:r>
          </w:p>
        </w:tc>
        <w:tc>
          <w:tcPr>
            <w:tcW w:w="220" w:type="dxa"/>
            <w:tcBorders>
              <w:top w:val="nil"/>
              <w:left w:val="nil"/>
              <w:bottom w:val="nil"/>
              <w:right w:val="nil"/>
            </w:tcBorders>
            <w:shd w:val="clear" w:color="auto" w:fill="auto"/>
            <w:noWrap/>
            <w:vAlign w:val="bottom"/>
            <w:hideMark/>
          </w:tcPr>
          <w:p w14:paraId="21D28E9C"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p>
        </w:tc>
        <w:tc>
          <w:tcPr>
            <w:tcW w:w="1480" w:type="dxa"/>
            <w:tcBorders>
              <w:top w:val="nil"/>
              <w:left w:val="nil"/>
              <w:bottom w:val="nil"/>
              <w:right w:val="nil"/>
            </w:tcBorders>
            <w:shd w:val="clear" w:color="auto" w:fill="auto"/>
            <w:noWrap/>
            <w:vAlign w:val="bottom"/>
            <w:hideMark/>
          </w:tcPr>
          <w:p w14:paraId="25B5C13A"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26,1</w:t>
            </w:r>
          </w:p>
        </w:tc>
        <w:tc>
          <w:tcPr>
            <w:tcW w:w="1460" w:type="dxa"/>
            <w:tcBorders>
              <w:top w:val="nil"/>
              <w:left w:val="nil"/>
              <w:bottom w:val="nil"/>
              <w:right w:val="nil"/>
            </w:tcBorders>
            <w:shd w:val="clear" w:color="auto" w:fill="auto"/>
            <w:noWrap/>
            <w:vAlign w:val="bottom"/>
            <w:hideMark/>
          </w:tcPr>
          <w:p w14:paraId="48C29DA5"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20,7</w:t>
            </w:r>
          </w:p>
        </w:tc>
      </w:tr>
      <w:tr w:rsidR="00167502" w:rsidRPr="00167502" w14:paraId="020DD308" w14:textId="77777777" w:rsidTr="00167502">
        <w:trPr>
          <w:trHeight w:val="300"/>
        </w:trPr>
        <w:tc>
          <w:tcPr>
            <w:tcW w:w="700" w:type="dxa"/>
            <w:tcBorders>
              <w:top w:val="nil"/>
              <w:left w:val="nil"/>
              <w:bottom w:val="nil"/>
              <w:right w:val="nil"/>
            </w:tcBorders>
            <w:shd w:val="clear" w:color="auto" w:fill="auto"/>
            <w:noWrap/>
            <w:vAlign w:val="bottom"/>
            <w:hideMark/>
          </w:tcPr>
          <w:p w14:paraId="7CC9BCCA" w14:textId="77777777" w:rsidR="00167502" w:rsidRPr="00167502" w:rsidRDefault="00167502" w:rsidP="00167502">
            <w:pPr>
              <w:spacing w:after="0" w:line="240" w:lineRule="auto"/>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U. E.</w:t>
            </w:r>
          </w:p>
        </w:tc>
        <w:tc>
          <w:tcPr>
            <w:tcW w:w="1460" w:type="dxa"/>
            <w:tcBorders>
              <w:top w:val="nil"/>
              <w:left w:val="nil"/>
              <w:bottom w:val="nil"/>
              <w:right w:val="nil"/>
            </w:tcBorders>
            <w:shd w:val="clear" w:color="auto" w:fill="auto"/>
            <w:noWrap/>
            <w:vAlign w:val="bottom"/>
            <w:hideMark/>
          </w:tcPr>
          <w:p w14:paraId="625C9F5F"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48,3</w:t>
            </w:r>
          </w:p>
        </w:tc>
        <w:tc>
          <w:tcPr>
            <w:tcW w:w="1380" w:type="dxa"/>
            <w:tcBorders>
              <w:top w:val="nil"/>
              <w:left w:val="nil"/>
              <w:bottom w:val="nil"/>
              <w:right w:val="nil"/>
            </w:tcBorders>
            <w:shd w:val="clear" w:color="auto" w:fill="auto"/>
            <w:noWrap/>
            <w:vAlign w:val="bottom"/>
            <w:hideMark/>
          </w:tcPr>
          <w:p w14:paraId="165AE172"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40,9</w:t>
            </w:r>
          </w:p>
        </w:tc>
        <w:tc>
          <w:tcPr>
            <w:tcW w:w="220" w:type="dxa"/>
            <w:tcBorders>
              <w:top w:val="nil"/>
              <w:left w:val="nil"/>
              <w:bottom w:val="nil"/>
              <w:right w:val="nil"/>
            </w:tcBorders>
            <w:shd w:val="clear" w:color="auto" w:fill="auto"/>
            <w:noWrap/>
            <w:vAlign w:val="bottom"/>
            <w:hideMark/>
          </w:tcPr>
          <w:p w14:paraId="37879567"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p>
        </w:tc>
        <w:tc>
          <w:tcPr>
            <w:tcW w:w="1480" w:type="dxa"/>
            <w:tcBorders>
              <w:top w:val="nil"/>
              <w:left w:val="nil"/>
              <w:bottom w:val="nil"/>
              <w:right w:val="nil"/>
            </w:tcBorders>
            <w:shd w:val="clear" w:color="auto" w:fill="auto"/>
            <w:noWrap/>
            <w:vAlign w:val="bottom"/>
            <w:hideMark/>
          </w:tcPr>
          <w:p w14:paraId="677B52BA"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167,7</w:t>
            </w:r>
          </w:p>
        </w:tc>
        <w:tc>
          <w:tcPr>
            <w:tcW w:w="1460" w:type="dxa"/>
            <w:tcBorders>
              <w:top w:val="nil"/>
              <w:left w:val="nil"/>
              <w:bottom w:val="nil"/>
              <w:right w:val="nil"/>
            </w:tcBorders>
            <w:shd w:val="clear" w:color="auto" w:fill="auto"/>
            <w:noWrap/>
            <w:vAlign w:val="bottom"/>
            <w:hideMark/>
          </w:tcPr>
          <w:p w14:paraId="0121A043"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132,3</w:t>
            </w:r>
          </w:p>
        </w:tc>
      </w:tr>
      <w:tr w:rsidR="00167502" w:rsidRPr="00167502" w14:paraId="6EF7BD08" w14:textId="77777777" w:rsidTr="00167502">
        <w:trPr>
          <w:trHeight w:val="300"/>
        </w:trPr>
        <w:tc>
          <w:tcPr>
            <w:tcW w:w="700" w:type="dxa"/>
            <w:tcBorders>
              <w:top w:val="nil"/>
              <w:left w:val="nil"/>
              <w:bottom w:val="nil"/>
              <w:right w:val="nil"/>
            </w:tcBorders>
            <w:shd w:val="clear" w:color="auto" w:fill="auto"/>
            <w:noWrap/>
            <w:vAlign w:val="bottom"/>
            <w:hideMark/>
          </w:tcPr>
          <w:p w14:paraId="67657F38" w14:textId="77777777" w:rsidR="00167502" w:rsidRPr="00167502" w:rsidRDefault="00167502" w:rsidP="00167502">
            <w:pPr>
              <w:spacing w:after="0" w:line="240" w:lineRule="auto"/>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USA</w:t>
            </w:r>
          </w:p>
        </w:tc>
        <w:tc>
          <w:tcPr>
            <w:tcW w:w="1460" w:type="dxa"/>
            <w:tcBorders>
              <w:top w:val="nil"/>
              <w:left w:val="nil"/>
              <w:bottom w:val="nil"/>
              <w:right w:val="nil"/>
            </w:tcBorders>
            <w:shd w:val="clear" w:color="auto" w:fill="auto"/>
            <w:noWrap/>
            <w:vAlign w:val="bottom"/>
            <w:hideMark/>
          </w:tcPr>
          <w:p w14:paraId="3BCE7E37"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40,7</w:t>
            </w:r>
          </w:p>
        </w:tc>
        <w:tc>
          <w:tcPr>
            <w:tcW w:w="1380" w:type="dxa"/>
            <w:tcBorders>
              <w:top w:val="nil"/>
              <w:left w:val="nil"/>
              <w:bottom w:val="nil"/>
              <w:right w:val="nil"/>
            </w:tcBorders>
            <w:shd w:val="clear" w:color="auto" w:fill="auto"/>
            <w:noWrap/>
            <w:vAlign w:val="bottom"/>
            <w:hideMark/>
          </w:tcPr>
          <w:p w14:paraId="7BCCE0AA"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38,8</w:t>
            </w:r>
          </w:p>
        </w:tc>
        <w:tc>
          <w:tcPr>
            <w:tcW w:w="220" w:type="dxa"/>
            <w:tcBorders>
              <w:top w:val="nil"/>
              <w:left w:val="nil"/>
              <w:bottom w:val="nil"/>
              <w:right w:val="nil"/>
            </w:tcBorders>
            <w:shd w:val="clear" w:color="auto" w:fill="auto"/>
            <w:noWrap/>
            <w:vAlign w:val="bottom"/>
            <w:hideMark/>
          </w:tcPr>
          <w:p w14:paraId="7DD3CE0B"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p>
        </w:tc>
        <w:tc>
          <w:tcPr>
            <w:tcW w:w="1480" w:type="dxa"/>
            <w:tcBorders>
              <w:top w:val="nil"/>
              <w:left w:val="nil"/>
              <w:bottom w:val="nil"/>
              <w:right w:val="nil"/>
            </w:tcBorders>
            <w:shd w:val="clear" w:color="auto" w:fill="auto"/>
            <w:noWrap/>
            <w:vAlign w:val="bottom"/>
            <w:hideMark/>
          </w:tcPr>
          <w:p w14:paraId="4194789A"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164,4</w:t>
            </w:r>
          </w:p>
        </w:tc>
        <w:tc>
          <w:tcPr>
            <w:tcW w:w="1460" w:type="dxa"/>
            <w:tcBorders>
              <w:top w:val="nil"/>
              <w:left w:val="nil"/>
              <w:bottom w:val="nil"/>
              <w:right w:val="nil"/>
            </w:tcBorders>
            <w:shd w:val="clear" w:color="auto" w:fill="auto"/>
            <w:noWrap/>
            <w:vAlign w:val="bottom"/>
            <w:hideMark/>
          </w:tcPr>
          <w:p w14:paraId="77E3887B" w14:textId="77777777" w:rsidR="00167502" w:rsidRPr="00167502" w:rsidRDefault="00167502" w:rsidP="00167502">
            <w:pPr>
              <w:spacing w:after="0" w:line="240" w:lineRule="auto"/>
              <w:jc w:val="center"/>
              <w:rPr>
                <w:rFonts w:ascii="Calibri" w:eastAsia="Times New Roman" w:hAnsi="Calibri" w:cs="Calibri"/>
                <w:color w:val="000000"/>
                <w:sz w:val="16"/>
                <w:szCs w:val="16"/>
                <w:lang w:eastAsia="it-IT"/>
              </w:rPr>
            </w:pPr>
            <w:r w:rsidRPr="00167502">
              <w:rPr>
                <w:rFonts w:ascii="Calibri" w:eastAsia="Times New Roman" w:hAnsi="Calibri" w:cs="Calibri"/>
                <w:color w:val="000000"/>
                <w:sz w:val="16"/>
                <w:szCs w:val="16"/>
                <w:lang w:eastAsia="it-IT"/>
              </w:rPr>
              <w:t>142,5</w:t>
            </w:r>
          </w:p>
        </w:tc>
      </w:tr>
    </w:tbl>
    <w:p w14:paraId="49297EC7" w14:textId="57F16BFD" w:rsidR="000D39BA" w:rsidRDefault="000D39BA" w:rsidP="000D39BA">
      <w:pPr>
        <w:pStyle w:val="Paragrafoelenco"/>
        <w:rPr>
          <w:b/>
          <w:bCs/>
        </w:rPr>
      </w:pPr>
    </w:p>
    <w:p w14:paraId="63C89EA0" w14:textId="227A5889" w:rsidR="000D39BA" w:rsidRDefault="000D39BA" w:rsidP="000D39BA">
      <w:pPr>
        <w:pStyle w:val="Paragrafoelenco"/>
        <w:rPr>
          <w:b/>
          <w:bCs/>
        </w:rPr>
      </w:pPr>
    </w:p>
    <w:p w14:paraId="4AA355A3" w14:textId="77192E32" w:rsidR="000D39BA" w:rsidRDefault="000D39BA" w:rsidP="000D39BA">
      <w:pPr>
        <w:pStyle w:val="Paragrafoelenco"/>
        <w:rPr>
          <w:b/>
          <w:bCs/>
        </w:rPr>
      </w:pPr>
    </w:p>
    <w:p w14:paraId="1C0E2828" w14:textId="77777777" w:rsidR="000D39BA" w:rsidRDefault="000D39BA" w:rsidP="000D39BA">
      <w:pPr>
        <w:pStyle w:val="Paragrafoelenco"/>
        <w:rPr>
          <w:b/>
          <w:bCs/>
        </w:rPr>
      </w:pPr>
    </w:p>
    <w:p w14:paraId="5D2BA72D" w14:textId="582972E4" w:rsidR="004C08ED" w:rsidRPr="004C08ED" w:rsidRDefault="004C08ED" w:rsidP="004C08ED">
      <w:pPr>
        <w:pStyle w:val="Paragrafoelenco"/>
        <w:numPr>
          <w:ilvl w:val="0"/>
          <w:numId w:val="1"/>
        </w:numPr>
        <w:rPr>
          <w:b/>
          <w:bCs/>
        </w:rPr>
      </w:pPr>
      <w:r w:rsidRPr="004C08ED">
        <w:rPr>
          <w:b/>
          <w:bCs/>
        </w:rPr>
        <w:lastRenderedPageBreak/>
        <w:t>L’approccio multilaterale o unilaterale alla giustizia fiscale</w:t>
      </w:r>
    </w:p>
    <w:p w14:paraId="2B94AD2D" w14:textId="01C45E16" w:rsidR="004C08ED" w:rsidRDefault="004C08ED" w:rsidP="004C08ED">
      <w:pPr>
        <w:pStyle w:val="Paragrafoelenco"/>
      </w:pPr>
    </w:p>
    <w:p w14:paraId="655A1116" w14:textId="4B4E6172" w:rsidR="004C08ED" w:rsidRDefault="004C08ED" w:rsidP="004C08ED">
      <w:pPr>
        <w:pStyle w:val="Paragrafoelenco"/>
      </w:pPr>
    </w:p>
    <w:p w14:paraId="18FD24D7" w14:textId="56DD3DC9" w:rsidR="004C08ED" w:rsidRPr="008F083B" w:rsidRDefault="008F083B" w:rsidP="008F083B">
      <w:pPr>
        <w:pStyle w:val="Paragrafoelenco"/>
        <w:numPr>
          <w:ilvl w:val="1"/>
          <w:numId w:val="1"/>
        </w:numPr>
        <w:rPr>
          <w:u w:val="single"/>
        </w:rPr>
      </w:pPr>
      <w:r>
        <w:rPr>
          <w:u w:val="single"/>
        </w:rPr>
        <w:t>U</w:t>
      </w:r>
      <w:r w:rsidR="004C08ED" w:rsidRPr="008F083B">
        <w:rPr>
          <w:u w:val="single"/>
        </w:rPr>
        <w:t>tilità di un approccio unilaterale: il caso FATCA</w:t>
      </w:r>
    </w:p>
    <w:p w14:paraId="513E4EF9" w14:textId="1F1B0545" w:rsidR="008F083B" w:rsidRDefault="008F083B" w:rsidP="008F083B">
      <w:pPr>
        <w:pStyle w:val="Paragrafoelenco"/>
        <w:ind w:left="1080"/>
      </w:pPr>
    </w:p>
    <w:p w14:paraId="6AA5F611" w14:textId="2090EE6E" w:rsidR="008F083B" w:rsidRDefault="008F083B" w:rsidP="008F083B">
      <w:pPr>
        <w:pStyle w:val="Paragrafoelenco"/>
        <w:ind w:left="1080"/>
      </w:pPr>
      <w:r>
        <w:t>Per la riduzione delle disuguaglianze e per sostenere il fabbisogno di ciascuno stato per gestire le conseguenze della pandemia, il cambiamento climatico e gli investimenti pubblici (nella sanità, nell’istruzione e nelle infrastrutture) – e potremmo aggiungere per fronteggiare le conseguenze economiche e sociali della crisi energetica e finanziaria generata dal conflitto in Ucraina e dalle conseguenti sanzioni inflitte alla Russia – la cooperazione internazionale è decisiva. Alcuni passi avanti nella cooperazione internazionale, abbiamo visto, sono stati fatti, ma misure più ambiziose, come la tassa sui profitti delle multinazionali o l’imposta patrimoniale progressiva individuale sui più ricchi, richiedono tempi lunghi per divenire operative: è quindi utile chiedersi</w:t>
      </w:r>
      <w:r w:rsidR="00C476D5">
        <w:t>, in questo contesto e in attesa di costruire il necessario consenso internazionale, quanto possa essere efficace un’azione unilaterale posta in essere da un singolo stato per fare passi avanti verso una giustizia fiscale.</w:t>
      </w:r>
    </w:p>
    <w:p w14:paraId="7317B0AC" w14:textId="6EE1B7F5" w:rsidR="00E51A71" w:rsidRDefault="00E51A71" w:rsidP="008F083B">
      <w:pPr>
        <w:pStyle w:val="Paragrafoelenco"/>
        <w:ind w:left="1080"/>
      </w:pPr>
    </w:p>
    <w:p w14:paraId="645B2D69" w14:textId="793C3B3F" w:rsidR="00E51A71" w:rsidRDefault="00E51A71" w:rsidP="008F083B">
      <w:pPr>
        <w:pStyle w:val="Paragrafoelenco"/>
        <w:ind w:left="1080"/>
      </w:pPr>
      <w:r>
        <w:t>Un buon esempio dell’utilità di un approccio unilaterale – anche se si riferisce a un grande paese – è la normativa FATCA</w:t>
      </w:r>
      <w:r>
        <w:rPr>
          <w:rStyle w:val="Rimandonotaapidipagina"/>
        </w:rPr>
        <w:footnoteReference w:id="9"/>
      </w:r>
      <w:r>
        <w:t xml:space="preserve"> approvata dagli Stati Uniti nel 2010: essa impone uno scambio automatico di dati fra le banche straniere e le autorità fiscali statunitensi. Le banche e le istituzioni finanziarie di tutto il mondo devono identificare chi, fra i propri clienti, sia un cittadino statunitense – e quindi tenuto a pagare le tasse negli USA – l’entità dei depositi sui loro conti correnti e quale reddito ne abbiano ricavato. In caso di mancata osservanza di questa normativa l’istituzione finanziaria che non collabora è sanzionata con una tassa del 30% </w:t>
      </w:r>
      <w:r w:rsidR="00660568">
        <w:t>di tutti gli interessi e i dividenti corrisposti alla clientela, tassa riscossa dalle autorità fiscali statunitensi.</w:t>
      </w:r>
    </w:p>
    <w:p w14:paraId="16B9D228" w14:textId="71BFFC27" w:rsidR="00660568" w:rsidRDefault="00660568" w:rsidP="008F083B">
      <w:pPr>
        <w:pStyle w:val="Paragrafoelenco"/>
        <w:ind w:left="1080"/>
      </w:pPr>
    </w:p>
    <w:p w14:paraId="6D396A23" w14:textId="7304C511" w:rsidR="00660568" w:rsidRDefault="00660568" w:rsidP="008F083B">
      <w:pPr>
        <w:pStyle w:val="Paragrafoelenco"/>
        <w:ind w:left="1080"/>
      </w:pPr>
      <w:r>
        <w:t>La sanzione prevista si è dimostrata efficace nell’assicurare il flusso di informazioni dalla maggior parte dei paradisi fiscali e da quei paesi, come la Svizzera, che per decenni avevano rifiutato qualsiasi collaborazione. Dalla sera alla mattina il segreto bancario, considerato da sempre inviolabile, è stato, almeno in parte, abolito.</w:t>
      </w:r>
    </w:p>
    <w:p w14:paraId="19091909" w14:textId="0D122B7D" w:rsidR="00660568" w:rsidRDefault="00660568" w:rsidP="008F083B">
      <w:pPr>
        <w:pStyle w:val="Paragrafoelenco"/>
        <w:ind w:left="1080"/>
      </w:pPr>
    </w:p>
    <w:p w14:paraId="0D1B1D40" w14:textId="44FC25A9" w:rsidR="00660568" w:rsidRDefault="00660568" w:rsidP="008F083B">
      <w:pPr>
        <w:pStyle w:val="Paragrafoelenco"/>
        <w:ind w:left="1080"/>
      </w:pPr>
      <w:r>
        <w:t>L’iniziativa americana ha aperto la strada: nel 2011 l’Unione europea ha adottato la propria versione di FATCA, conosciuta come DAC</w:t>
      </w:r>
      <w:r>
        <w:rPr>
          <w:rStyle w:val="Rimandonotaapidipagina"/>
        </w:rPr>
        <w:footnoteReference w:id="10"/>
      </w:r>
      <w:r>
        <w:t xml:space="preserve"> e, ancora più importante, l’OCSE nel 2014 ha sviluppato il </w:t>
      </w:r>
      <w:r w:rsidRPr="00816422">
        <w:rPr>
          <w:i/>
          <w:iCs/>
        </w:rPr>
        <w:t>Common Reporting Standards</w:t>
      </w:r>
      <w:r>
        <w:t xml:space="preserve"> (CRS) e cioè un insieme di linee guida e di procedure per consentire lo scambio fra i diversi paesi di informazioni finanziarie e fiscali.</w:t>
      </w:r>
      <w:r w:rsidR="00174920">
        <w:t xml:space="preserve"> Il CRS è stato adottato da più di 100 paesi e la sua operatività è iniziata fra il 2017 e il 2018: molti paradisi fiscali, quali il Lussemburgo, Singapore e le Isole Cayman, partecipano a questa forma di collaborazione. Si può affermare che l’iniziativa unilaterale di un grande paese ha condotto all’adozione di una nuova forma di cooperazione internazionale che, fino a pochi anni prima, era considerata del tutto utopistica.</w:t>
      </w:r>
    </w:p>
    <w:p w14:paraId="183D9851" w14:textId="0E091FB0" w:rsidR="00174920" w:rsidRDefault="00174920" w:rsidP="008F083B">
      <w:pPr>
        <w:pStyle w:val="Paragrafoelenco"/>
        <w:ind w:left="1080"/>
      </w:pPr>
    </w:p>
    <w:p w14:paraId="0F1168A0" w14:textId="7320E418" w:rsidR="00174920" w:rsidRDefault="00FB6C83" w:rsidP="008F083B">
      <w:pPr>
        <w:pStyle w:val="Paragrafoelenco"/>
        <w:ind w:left="1080"/>
      </w:pPr>
      <w:r>
        <w:t>Questo panorama presenta ancora delle falle: la mancanza di informazioni da alcuni paesi impedisce di valutare accuratamente l’efficacia del CRS e inoltre manca la definizione di sanzioni per chi non si adegua alla normativa CRS e sarebbe ingenuo attendersi che paesi e istituzioni che hanno facilitato le frodi e l’evasione fiscale per decenni si sottomettano volontariamente alle nuove regole.</w:t>
      </w:r>
    </w:p>
    <w:p w14:paraId="4FDB6AE6" w14:textId="10B5F1E9" w:rsidR="0002130B" w:rsidRPr="00877AEC" w:rsidRDefault="0002130B" w:rsidP="0002130B">
      <w:pPr>
        <w:pStyle w:val="Paragrafoelenco"/>
        <w:numPr>
          <w:ilvl w:val="1"/>
          <w:numId w:val="1"/>
        </w:numPr>
        <w:rPr>
          <w:u w:val="single"/>
        </w:rPr>
      </w:pPr>
      <w:r w:rsidRPr="00877AEC">
        <w:rPr>
          <w:u w:val="single"/>
        </w:rPr>
        <w:lastRenderedPageBreak/>
        <w:t>Colmare il deficit fiscale con azioni unilaterali o multilaterali?</w:t>
      </w:r>
    </w:p>
    <w:p w14:paraId="1CBCC3F3" w14:textId="2F0E26B3" w:rsidR="0002130B" w:rsidRDefault="0002130B" w:rsidP="0002130B">
      <w:pPr>
        <w:pStyle w:val="Paragrafoelenco"/>
        <w:ind w:left="1080"/>
      </w:pPr>
    </w:p>
    <w:p w14:paraId="4CEF7D90" w14:textId="0E95905F" w:rsidR="0002130B" w:rsidRDefault="0002130B" w:rsidP="0002130B">
      <w:pPr>
        <w:pStyle w:val="Paragrafoelenco"/>
        <w:ind w:left="1080"/>
      </w:pPr>
      <w:r>
        <w:t>L’esperienza di FATCA potrebbe essere replicata per colpire lo spostamento dei profitti nei paradisi fiscali? Il WIR 2022</w:t>
      </w:r>
      <w:r>
        <w:rPr>
          <w:rStyle w:val="Rimandonotaapidipagina"/>
        </w:rPr>
        <w:footnoteReference w:id="11"/>
      </w:r>
      <w:r>
        <w:t xml:space="preserve"> analizza diversi possibili percorsi per recuperare, attraverso azioni unilaterali, il deficit fiscale e cioè la differenza fra quanto le multinazionali pagano effettivamente per la tassazione sui profitti e quanto dovrebbero pagare se fossero soggette all’imposta minima sui profitti, supponendo che questa sia operativa in ogni paese in cui le società operano.</w:t>
      </w:r>
    </w:p>
    <w:p w14:paraId="1AD03A85" w14:textId="4161C806" w:rsidR="0002130B" w:rsidRDefault="0002130B" w:rsidP="0002130B">
      <w:pPr>
        <w:pStyle w:val="Paragrafoelenco"/>
        <w:ind w:left="1080"/>
      </w:pPr>
    </w:p>
    <w:p w14:paraId="5F436180" w14:textId="66056DE3" w:rsidR="0002130B" w:rsidRDefault="0002130B" w:rsidP="0002130B">
      <w:pPr>
        <w:pStyle w:val="Paragrafoelenco"/>
        <w:ind w:left="1080"/>
      </w:pPr>
      <w:r>
        <w:t>L’analisi conduce a</w:t>
      </w:r>
      <w:r w:rsidR="00877AEC">
        <w:t>lla</w:t>
      </w:r>
      <w:r>
        <w:t xml:space="preserve"> conclusion</w:t>
      </w:r>
      <w:r w:rsidR="00877AEC">
        <w:t>e</w:t>
      </w:r>
      <w:r>
        <w:t xml:space="preserve"> che, sebbene un c</w:t>
      </w:r>
      <w:r w:rsidR="00877AEC">
        <w:t xml:space="preserve">oordinamento internazionale sia sempre la strada preferibile, un’azione unilaterale – condotta da un singolo stato o da un gruppo di stati – potrebbe spianare la strada per un accordo a livello di Unione europea su una tassa minima elevata. Un’azione unilaterale, in altre parole, potrebbe innescare una “gara verso l’alto” in cui sempre più paesi potrebbero raccogliere quanto dovuto dalle multinazionali per colmare il deficit fiscale. La competizione fiscale è una scelta politica: dato che i paesi ad elevata tassazione tendono a perdere il gettito fiscale, il capitale e il lavoro per causa della competizione fiscale non è impossibile che </w:t>
      </w:r>
      <w:r w:rsidR="00B24091">
        <w:t>in futuro qualcuno di questi paesi possa fare una scelta diversa, quale quella di trarre unilateralmente dei benefici tassando i profitti dichiarati nei paradisi fiscali. Ciò potrebbe rendere meno vantaggioso, per le multinazionali, spostare i profitti nei paradisi fiscali il che renderebbe meno remunerativo, per gli stessi paradisi fiscali, offrire aliquote basse.</w:t>
      </w:r>
    </w:p>
    <w:p w14:paraId="79557A86" w14:textId="5F4A5772" w:rsidR="00B24091" w:rsidRDefault="00B24091" w:rsidP="0002130B">
      <w:pPr>
        <w:pStyle w:val="Paragrafoelenco"/>
        <w:ind w:left="1080"/>
      </w:pPr>
    </w:p>
    <w:p w14:paraId="4209987D" w14:textId="38A43EC0" w:rsidR="00B24091" w:rsidRDefault="00B24091" w:rsidP="0002130B">
      <w:pPr>
        <w:pStyle w:val="Paragrafoelenco"/>
        <w:ind w:left="1080"/>
      </w:pPr>
      <w:r>
        <w:t>Senza un’azione unilaterale sembra difficile che l’Unione europea possa sfuggire alla “trappola dell’unanimità” posta in essere nel passato.</w:t>
      </w:r>
    </w:p>
    <w:p w14:paraId="10081063" w14:textId="0E374D78" w:rsidR="00B24091" w:rsidRDefault="00B24091" w:rsidP="0002130B">
      <w:pPr>
        <w:pStyle w:val="Paragrafoelenco"/>
        <w:ind w:left="1080"/>
      </w:pPr>
    </w:p>
    <w:p w14:paraId="7AA3B82D" w14:textId="77777777" w:rsidR="00B24091" w:rsidRDefault="00B24091" w:rsidP="0002130B">
      <w:pPr>
        <w:pStyle w:val="Paragrafoelenco"/>
        <w:ind w:left="1080"/>
      </w:pPr>
    </w:p>
    <w:p w14:paraId="06CC7C61" w14:textId="3A9DCF7E" w:rsidR="00B24091" w:rsidRPr="00F857DA" w:rsidRDefault="00B24091" w:rsidP="00B24091">
      <w:pPr>
        <w:pStyle w:val="Paragrafoelenco"/>
        <w:numPr>
          <w:ilvl w:val="1"/>
          <w:numId w:val="1"/>
        </w:numPr>
        <w:rPr>
          <w:u w:val="single"/>
        </w:rPr>
      </w:pPr>
      <w:r w:rsidRPr="00F857DA">
        <w:rPr>
          <w:u w:val="single"/>
        </w:rPr>
        <w:t>Le falle delle procedure anti evasione</w:t>
      </w:r>
    </w:p>
    <w:p w14:paraId="4FF9BB93" w14:textId="1A83DF06" w:rsidR="00B24091" w:rsidRDefault="00B24091" w:rsidP="00B24091">
      <w:pPr>
        <w:pStyle w:val="Paragrafoelenco"/>
        <w:ind w:left="1080"/>
      </w:pPr>
    </w:p>
    <w:p w14:paraId="500FA6C5" w14:textId="19ECD301" w:rsidR="00B24091" w:rsidRDefault="00F857DA" w:rsidP="00B24091">
      <w:pPr>
        <w:pStyle w:val="Paragrafoelenco"/>
        <w:ind w:left="1080"/>
      </w:pPr>
      <w:r>
        <w:t>Nel 2020 erano 107 i paesi che avevano adottato il CRS, inclusi alcuni considerevoli paradisi fiscali come la Svizzera, e il totale dei capitali dichiarati – riferiti al 2019 – è stato di 11.200 miliardi di USD riferiti a 84 milioni di conti; dieci anni prima il totale dei capitali sottratti al fisco era stimato pari a 4500 miliardi di USD, il che ha condotto l’OCSE a dichiarare che l’era del segreto bancario era finita. Sfortunatamente la realtà è meno brillante.</w:t>
      </w:r>
    </w:p>
    <w:p w14:paraId="2D678D6E" w14:textId="78A9740C" w:rsidR="00733C96" w:rsidRDefault="00733C96" w:rsidP="00B24091">
      <w:pPr>
        <w:pStyle w:val="Paragrafoelenco"/>
        <w:ind w:left="1080"/>
      </w:pPr>
    </w:p>
    <w:p w14:paraId="17D5EE51" w14:textId="1378C83D" w:rsidR="00733C96" w:rsidRDefault="00733C96" w:rsidP="00B24091">
      <w:pPr>
        <w:pStyle w:val="Paragrafoelenco"/>
        <w:ind w:left="1080"/>
      </w:pPr>
      <w:r>
        <w:t xml:space="preserve">Gli evasori possono scavalcare il CRS in almeno tre modi differenti. Il primo è trasferire i capitali nei paesi che non aderiscono al CRS: molti paesi africani e gli stessi USA, che – a dispetto del FATCA – ospitano tuttora diversi paradisi fiscali (Delaware, Nevada, Wyoming). Nella classifica dei paesi maggiormente “riservati” in materia fiscale gli USA sono al secondo posto, dopo le Cayman </w:t>
      </w:r>
      <w:proofErr w:type="spellStart"/>
      <w:r>
        <w:t>Islands</w:t>
      </w:r>
      <w:proofErr w:type="spellEnd"/>
      <w:r>
        <w:t xml:space="preserve"> e prima della Svizzera).</w:t>
      </w:r>
    </w:p>
    <w:p w14:paraId="482B537B" w14:textId="77777777" w:rsidR="00733C96" w:rsidRDefault="00733C96" w:rsidP="00B24091">
      <w:pPr>
        <w:pStyle w:val="Paragrafoelenco"/>
        <w:ind w:left="1080"/>
      </w:pPr>
    </w:p>
    <w:p w14:paraId="06C12B24" w14:textId="488CD9F8" w:rsidR="00733C96" w:rsidRDefault="00733C96" w:rsidP="00B24091">
      <w:pPr>
        <w:pStyle w:val="Paragrafoelenco"/>
        <w:ind w:left="1080"/>
      </w:pPr>
      <w:r>
        <w:t>In secondo luogo molti paesi che hanno sottoscritto il CRS non si sono dota</w:t>
      </w:r>
      <w:r w:rsidR="00CF4DF8">
        <w:t>t</w:t>
      </w:r>
      <w:r>
        <w:t xml:space="preserve">i degli strumenti adatti per imporre il rispetto </w:t>
      </w:r>
      <w:r w:rsidR="00CF4DF8">
        <w:t>delle procedure di trasferimento di informazioni previste dal CRS, e la possibilità di imporre sanzioni sembra essere assai limitata.</w:t>
      </w:r>
    </w:p>
    <w:p w14:paraId="5E92E55F" w14:textId="44764507" w:rsidR="00CF4DF8" w:rsidRDefault="00CF4DF8" w:rsidP="00B24091">
      <w:pPr>
        <w:pStyle w:val="Paragrafoelenco"/>
        <w:ind w:left="1080"/>
      </w:pPr>
    </w:p>
    <w:p w14:paraId="0842FD61" w14:textId="56EEA2B0" w:rsidR="00CF4DF8" w:rsidRDefault="00CF4DF8" w:rsidP="00B24091">
      <w:pPr>
        <w:pStyle w:val="Paragrafoelenco"/>
        <w:ind w:left="1080"/>
      </w:pPr>
      <w:r>
        <w:t>Infine alcune istituzioni o alcune classi di risorse non sono ancora soggette all’obbligo della dichiarazione. Il meccanismo del CRS è migliorato dal 2014, ma i paesi partecipanti possono decidere di escludere alcune istituzioni dall’obbligo di dichiarazione.</w:t>
      </w:r>
    </w:p>
    <w:p w14:paraId="1BE42CF4" w14:textId="27FA1EDA" w:rsidR="00CF4DF8" w:rsidRDefault="00CA41B0" w:rsidP="00B24091">
      <w:pPr>
        <w:pStyle w:val="Paragrafoelenco"/>
        <w:ind w:left="1080"/>
      </w:pPr>
      <w:r>
        <w:lastRenderedPageBreak/>
        <w:t>Pur considerando queste limitazioni non c’è dubbio che il CRS rappresenta un considerevole miglioramento rispetto alla situazione pre-2010 e dimostra che la cooperazione multilaterale in materia fiscale è possibile.</w:t>
      </w:r>
    </w:p>
    <w:p w14:paraId="417E542E" w14:textId="26705163" w:rsidR="00422A34" w:rsidRDefault="00422A34" w:rsidP="00B24091">
      <w:pPr>
        <w:pStyle w:val="Paragrafoelenco"/>
        <w:ind w:left="1080"/>
      </w:pPr>
    </w:p>
    <w:p w14:paraId="3DEF134A" w14:textId="17C3CCEF" w:rsidR="00422A34" w:rsidRDefault="00422A34" w:rsidP="00B24091">
      <w:pPr>
        <w:pStyle w:val="Paragrafoelenco"/>
        <w:ind w:left="1080"/>
      </w:pPr>
    </w:p>
    <w:p w14:paraId="4D99B880" w14:textId="1C46750F" w:rsidR="00422A34" w:rsidRPr="00297650" w:rsidRDefault="00422A34" w:rsidP="00422A34">
      <w:pPr>
        <w:pStyle w:val="Paragrafoelenco"/>
        <w:numPr>
          <w:ilvl w:val="1"/>
          <w:numId w:val="1"/>
        </w:numPr>
        <w:rPr>
          <w:u w:val="single"/>
        </w:rPr>
      </w:pPr>
      <w:r w:rsidRPr="00297650">
        <w:rPr>
          <w:u w:val="single"/>
        </w:rPr>
        <w:t>La trasparenza fiscale e il registro globale delle attività (</w:t>
      </w:r>
      <w:r w:rsidRPr="00816422">
        <w:rPr>
          <w:i/>
          <w:iCs/>
          <w:u w:val="single"/>
        </w:rPr>
        <w:t xml:space="preserve">global asset </w:t>
      </w:r>
      <w:proofErr w:type="spellStart"/>
      <w:r w:rsidRPr="00816422">
        <w:rPr>
          <w:i/>
          <w:iCs/>
          <w:u w:val="single"/>
        </w:rPr>
        <w:t>register</w:t>
      </w:r>
      <w:proofErr w:type="spellEnd"/>
      <w:r w:rsidRPr="00297650">
        <w:rPr>
          <w:u w:val="single"/>
        </w:rPr>
        <w:t>)</w:t>
      </w:r>
    </w:p>
    <w:p w14:paraId="3C1211ED" w14:textId="259AE810" w:rsidR="00422A34" w:rsidRDefault="00422A34" w:rsidP="00422A34">
      <w:pPr>
        <w:pStyle w:val="Paragrafoelenco"/>
        <w:ind w:left="1080"/>
      </w:pPr>
    </w:p>
    <w:p w14:paraId="42C564A9" w14:textId="5D47D2CB" w:rsidR="00422A34" w:rsidRDefault="00422A34" w:rsidP="00422A34">
      <w:pPr>
        <w:pStyle w:val="Paragrafoelenco"/>
        <w:ind w:left="1080"/>
      </w:pPr>
      <w:r>
        <w:t>Se lo scambio di informazioni fra i paesi, previsto dal FATCA o dal CRS, fosse effettivo le autorità fiscali dei vari paesi potrebbero diffondere le informazioni di base riguardanti i patrimoni dei residenti e l’entità delle tasse pagate (sia in patria sia all’estero): queste informazioni, però, non sono rese pubbliche dai paesi aderenti al CRS, il che getta un’ombra sulla respons</w:t>
      </w:r>
      <w:r w:rsidR="00297650">
        <w:t>a</w:t>
      </w:r>
      <w:r>
        <w:t>bilità dei governi e sulla loro politica fiscale.</w:t>
      </w:r>
    </w:p>
    <w:p w14:paraId="76E9FC43" w14:textId="097F87B6" w:rsidR="00422A34" w:rsidRDefault="00422A34" w:rsidP="00422A34">
      <w:pPr>
        <w:pStyle w:val="Paragrafoelenco"/>
        <w:ind w:left="1080"/>
      </w:pPr>
    </w:p>
    <w:p w14:paraId="7C85FDD9" w14:textId="232D780E" w:rsidR="00422A34" w:rsidRDefault="00297650" w:rsidP="00422A34">
      <w:pPr>
        <w:pStyle w:val="Paragrafoelenco"/>
        <w:ind w:left="1080"/>
      </w:pPr>
      <w:r>
        <w:t xml:space="preserve">Di fatto i paradisi fiscali e molte organizzazioni finanziarie </w:t>
      </w:r>
      <w:r w:rsidRPr="00297650">
        <w:rPr>
          <w:i/>
          <w:iCs/>
        </w:rPr>
        <w:t>offshore</w:t>
      </w:r>
      <w:r>
        <w:t xml:space="preserve"> non hanno incentivi a rendere note informazioni attendibili perché sanno di non incorrere in sanzioni sufficientemente elevate. Per di più una larga e crescente parte dei patrimoni depositati all’estero è gestita da un intreccio di società, trust e fondazioni che disconnettono i patrimoni dai loro effettivi proprietari, rendendo possibile alle banche estere </w:t>
      </w:r>
      <w:r w:rsidRPr="00297650">
        <w:rPr>
          <w:i/>
          <w:iCs/>
        </w:rPr>
        <w:t>offshore</w:t>
      </w:r>
      <w:r>
        <w:t xml:space="preserve"> affermare di non avere come clienti cittadini americani o europei.</w:t>
      </w:r>
    </w:p>
    <w:p w14:paraId="22636A2F" w14:textId="5AED5049" w:rsidR="00297650" w:rsidRDefault="00297650" w:rsidP="00422A34">
      <w:pPr>
        <w:pStyle w:val="Paragrafoelenco"/>
        <w:ind w:left="1080"/>
      </w:pPr>
    </w:p>
    <w:p w14:paraId="5D2DD7BC" w14:textId="0E9B6EDE" w:rsidR="00297650" w:rsidRDefault="00297650" w:rsidP="00422A34">
      <w:pPr>
        <w:pStyle w:val="Paragrafoelenco"/>
        <w:ind w:left="1080"/>
      </w:pPr>
      <w:r>
        <w:t>Quindi il modo migliore per</w:t>
      </w:r>
      <w:r w:rsidR="00217D12">
        <w:t xml:space="preserve"> porre fine all’evasione fiscale a livello mondiale è quello di costruire un registro finanziario globale. Che consentirebbe alle autorità regolatorie e fiscali di ogni paese di verificare se i contribuenti dichiarano appropriatamente attività e redditi da capitale indipendentemente dalla disponibilità o meno delle istituzioni finanziarie </w:t>
      </w:r>
      <w:r w:rsidR="00217D12" w:rsidRPr="00217D12">
        <w:rPr>
          <w:i/>
          <w:iCs/>
        </w:rPr>
        <w:t>offshore</w:t>
      </w:r>
      <w:r w:rsidR="00217D12">
        <w:t xml:space="preserve"> a comunicare i loro dati alle autorità fiscali.</w:t>
      </w:r>
    </w:p>
    <w:p w14:paraId="7BF8FB4F" w14:textId="19CDFC8A" w:rsidR="00217D12" w:rsidRDefault="00217D12" w:rsidP="00422A34">
      <w:pPr>
        <w:pStyle w:val="Paragrafoelenco"/>
        <w:ind w:left="1080"/>
      </w:pPr>
    </w:p>
    <w:p w14:paraId="0E5DF0E9" w14:textId="1AEFAF56" w:rsidR="00217D12" w:rsidRDefault="00217D12" w:rsidP="00422A34">
      <w:pPr>
        <w:pStyle w:val="Paragrafoelenco"/>
        <w:ind w:left="1080"/>
      </w:pPr>
      <w:r>
        <w:t>L’esistenza dei già citati FATCA e CRS facilita la creazione di un tale registro, ma sarebbe cruciale che esso po</w:t>
      </w:r>
      <w:r w:rsidR="00160134">
        <w:t>tesse</w:t>
      </w:r>
      <w:r>
        <w:t xml:space="preserve"> avvalersi dei dati raccolti dalle istituzioni finanziarie (per lo più private) note come </w:t>
      </w:r>
      <w:r w:rsidRPr="00217D12">
        <w:rPr>
          <w:i/>
          <w:iCs/>
        </w:rPr>
        <w:t xml:space="preserve">Central Securities </w:t>
      </w:r>
      <w:proofErr w:type="spellStart"/>
      <w:r w:rsidRPr="00217D12">
        <w:rPr>
          <w:i/>
          <w:iCs/>
        </w:rPr>
        <w:t>Depositories</w:t>
      </w:r>
      <w:proofErr w:type="spellEnd"/>
      <w:r>
        <w:t xml:space="preserve"> (CSD). I CSD sono organizzazioni che tengono nota</w:t>
      </w:r>
      <w:r w:rsidR="00924B29">
        <w:t xml:space="preserve"> delle azioni e obbligazioni emesse da governi e aziende</w:t>
      </w:r>
      <w:r w:rsidR="00C87447">
        <w:t xml:space="preserve"> e possono gestire conti riservati intestati all’investitore finale (che è il modo più trasparente perché connette direttamente gli </w:t>
      </w:r>
      <w:proofErr w:type="spellStart"/>
      <w:r w:rsidR="00C87447">
        <w:t>assset</w:t>
      </w:r>
      <w:proofErr w:type="spellEnd"/>
      <w:r w:rsidR="00C87447">
        <w:t xml:space="preserve"> registrati al loro titolare), oppure possono gestire conti “omnibus” che raccolgono diversi investitori sotto un unico conto intestato a un intermediario finanziario, il che rende difficile individuare gli investitori finali.</w:t>
      </w:r>
    </w:p>
    <w:p w14:paraId="73E55A85" w14:textId="40CE9F3F" w:rsidR="00C87447" w:rsidRDefault="00C87447" w:rsidP="00422A34">
      <w:pPr>
        <w:pStyle w:val="Paragrafoelenco"/>
        <w:ind w:left="1080"/>
      </w:pPr>
    </w:p>
    <w:p w14:paraId="51C00256" w14:textId="5F039E73" w:rsidR="00C87447" w:rsidRDefault="00C87447" w:rsidP="00422A34">
      <w:pPr>
        <w:pStyle w:val="Paragrafoelenco"/>
        <w:ind w:left="1080"/>
      </w:pPr>
      <w:r>
        <w:t>Questo tipo di conti è quello usato in prevalenza nei mercati occidentali, tuttavia le moderne tecnologie di gestione delle informazioni possono consentire di risalire ai singoli titolari dei patrimoni registrati in conti omnibus, e inoltre alcuni paesi (come la Norvegia) o grandi mercati emergenti (Cina, Sud Africa) operano con sistemi che consentono l’identificazione degli investitori finali. La Commissione europea ha recentemente avviato uno studio di fattibilità per la costruzione di un suo registro.</w:t>
      </w:r>
      <w:r w:rsidR="00160134">
        <w:t xml:space="preserve"> Siamo così ricondotti, di nuovo, a un problema di volontà politica.</w:t>
      </w:r>
    </w:p>
    <w:p w14:paraId="2E525193" w14:textId="6BA8232D" w:rsidR="00297650" w:rsidRDefault="00297650" w:rsidP="00422A34">
      <w:pPr>
        <w:pStyle w:val="Paragrafoelenco"/>
        <w:ind w:left="1080"/>
      </w:pPr>
    </w:p>
    <w:p w14:paraId="2C5A6B10" w14:textId="57421A2A" w:rsidR="00160134" w:rsidRDefault="00160134" w:rsidP="00422A34">
      <w:pPr>
        <w:pStyle w:val="Paragrafoelenco"/>
        <w:ind w:left="1080"/>
      </w:pPr>
    </w:p>
    <w:p w14:paraId="1DF2AC4E" w14:textId="01C8E729" w:rsidR="00160134" w:rsidRDefault="00160134" w:rsidP="00422A34">
      <w:pPr>
        <w:pStyle w:val="Paragrafoelenco"/>
        <w:ind w:left="1080"/>
      </w:pPr>
    </w:p>
    <w:p w14:paraId="1358B390" w14:textId="4CED6079" w:rsidR="00160134" w:rsidRDefault="00160134" w:rsidP="00422A34">
      <w:pPr>
        <w:pStyle w:val="Paragrafoelenco"/>
        <w:ind w:left="1080"/>
      </w:pPr>
    </w:p>
    <w:p w14:paraId="499AE589" w14:textId="77777777" w:rsidR="00160134" w:rsidRDefault="00160134" w:rsidP="00422A34">
      <w:pPr>
        <w:pStyle w:val="Paragrafoelenco"/>
        <w:ind w:left="1080"/>
      </w:pPr>
    </w:p>
    <w:p w14:paraId="1857E8C3" w14:textId="27CFA0F2" w:rsidR="00160134" w:rsidRPr="00F248AD" w:rsidRDefault="00160134" w:rsidP="00160134">
      <w:pPr>
        <w:pStyle w:val="Paragrafoelenco"/>
        <w:numPr>
          <w:ilvl w:val="1"/>
          <w:numId w:val="1"/>
        </w:numPr>
        <w:rPr>
          <w:u w:val="single"/>
        </w:rPr>
      </w:pPr>
      <w:r w:rsidRPr="00F248AD">
        <w:rPr>
          <w:u w:val="single"/>
        </w:rPr>
        <w:lastRenderedPageBreak/>
        <w:t>I CSD come mattoni per costruire il registro globale delle attività</w:t>
      </w:r>
      <w:r w:rsidRPr="00F248AD">
        <w:rPr>
          <w:rStyle w:val="Rimandonotaapidipagina"/>
          <w:u w:val="single"/>
        </w:rPr>
        <w:footnoteReference w:id="12"/>
      </w:r>
    </w:p>
    <w:p w14:paraId="6DA681D4" w14:textId="635E325D" w:rsidR="00160134" w:rsidRDefault="00160134" w:rsidP="00160134">
      <w:pPr>
        <w:pStyle w:val="Paragrafoelenco"/>
        <w:ind w:left="1080"/>
      </w:pPr>
    </w:p>
    <w:p w14:paraId="22330C22" w14:textId="7834FD87" w:rsidR="00892018" w:rsidRDefault="00160134" w:rsidP="00160134">
      <w:pPr>
        <w:pStyle w:val="Paragrafoelenco"/>
        <w:ind w:left="1080"/>
        <w:rPr>
          <w:i/>
          <w:iCs/>
        </w:rPr>
      </w:pPr>
      <w:r w:rsidRPr="00F248AD">
        <w:rPr>
          <w:i/>
          <w:iCs/>
        </w:rPr>
        <w:t>Nei moderni sistemi finanziari</w:t>
      </w:r>
      <w:r w:rsidR="00F248AD" w:rsidRPr="00F248AD">
        <w:rPr>
          <w:i/>
          <w:iCs/>
        </w:rPr>
        <w:t xml:space="preserve"> le azioni e le obbligazioni emesse dalle aziende non sono più certificati cartacei, ma registrazioni elettroniche</w:t>
      </w:r>
      <w:r w:rsidR="00F248AD">
        <w:rPr>
          <w:i/>
          <w:iCs/>
        </w:rPr>
        <w:t>. La catena che collega il titolo emesso al suo possessore non è più diretta, ma coinvolge diversi intermediari spesso ubicati in paesi diversi. i CSD si situano al vertice di questa catena, subito al di sotto dell’emittente. Il loro ruolo è quello di mantenere traccia della proprietà dei titoli e talvolta di gestire transazioni finanziarie. I clienti dei CSD sono le istituzioni finanziarie degli stati in cui risiede l’emittente, istituzioni finanziarie estere e altri CSD. Al di sotto dei clienti dei CSD vi sono diversi altri strati</w:t>
      </w:r>
      <w:r w:rsidR="00F248AD">
        <w:rPr>
          <w:i/>
          <w:iCs/>
        </w:rPr>
        <w:t xml:space="preserve"> di intermediari finanziari</w:t>
      </w:r>
      <w:r w:rsidR="00F248AD">
        <w:rPr>
          <w:i/>
          <w:iCs/>
        </w:rPr>
        <w:t xml:space="preserve"> e alla fine della catena vi è un intermediario</w:t>
      </w:r>
      <w:r w:rsidR="00892018">
        <w:rPr>
          <w:i/>
          <w:iCs/>
        </w:rPr>
        <w:t xml:space="preserve">,  </w:t>
      </w:r>
    </w:p>
    <w:p w14:paraId="16E8D153" w14:textId="77777777" w:rsidR="00892018" w:rsidRDefault="00892018" w:rsidP="00160134">
      <w:pPr>
        <w:pStyle w:val="Paragrafoelenco"/>
        <w:ind w:left="1080"/>
        <w:rPr>
          <w:i/>
          <w:iCs/>
        </w:rPr>
      </w:pPr>
    </w:p>
    <w:p w14:paraId="2FBEFA72" w14:textId="448D82BB" w:rsidR="00160134" w:rsidRDefault="00892018" w:rsidP="00160134">
      <w:pPr>
        <w:pStyle w:val="Paragrafoelenco"/>
        <w:ind w:left="1080"/>
        <w:rPr>
          <w:i/>
          <w:iCs/>
        </w:rPr>
      </w:pPr>
      <w:r>
        <w:rPr>
          <w:i/>
          <w:iCs/>
        </w:rPr>
        <w:t>Poiché sono coinvolti così tanti intermediari, l’entità che emette il titolo è sconnessa dall’investitore finale: le società pubbliche che emettono un titolo non sanno chi sono i titolari dell’azione o dell’obbligazione emessa. I CSD, come parte della catena di intermediazione finanziaria, rendono possibile e allo stesso tempo opaca la relazione emittente-investitore. Il sistema non è stato progettato intenzionalmente per favorire l’anonimato, ma si è evoluto nel tempo in questa direzione per la complessità dei regolamenti che reggono il commercio transfrontaliero dei titoli.</w:t>
      </w:r>
      <w:r w:rsidR="00692033">
        <w:rPr>
          <w:i/>
          <w:iCs/>
        </w:rPr>
        <w:t xml:space="preserve"> L’evoluzione verso la non-trasparenza è stata incoraggiata dalle complesse tecnologie coinvolte che hanno limitato l’attenzione dei mezzi di comunicazione e del pubblico per questi temi.</w:t>
      </w:r>
    </w:p>
    <w:p w14:paraId="2591010C" w14:textId="46E1FC01" w:rsidR="00692033" w:rsidRDefault="00692033" w:rsidP="00160134">
      <w:pPr>
        <w:pStyle w:val="Paragrafoelenco"/>
        <w:ind w:left="1080"/>
        <w:rPr>
          <w:i/>
          <w:iCs/>
        </w:rPr>
      </w:pPr>
    </w:p>
    <w:p w14:paraId="668D999D" w14:textId="71494197" w:rsidR="00692033" w:rsidRDefault="00692033" w:rsidP="00160134">
      <w:pPr>
        <w:pStyle w:val="Paragrafoelenco"/>
        <w:ind w:left="1080"/>
        <w:rPr>
          <w:i/>
          <w:iCs/>
        </w:rPr>
      </w:pPr>
      <w:r>
        <w:rPr>
          <w:i/>
          <w:iCs/>
        </w:rPr>
        <w:t xml:space="preserve">[….] </w:t>
      </w:r>
    </w:p>
    <w:p w14:paraId="232F3BA3" w14:textId="660F9190" w:rsidR="00692033" w:rsidRDefault="00692033" w:rsidP="00160134">
      <w:pPr>
        <w:pStyle w:val="Paragrafoelenco"/>
        <w:ind w:left="1080"/>
        <w:rPr>
          <w:i/>
          <w:iCs/>
        </w:rPr>
      </w:pPr>
    </w:p>
    <w:p w14:paraId="7E5027BC" w14:textId="4C1EF899" w:rsidR="00692033" w:rsidRDefault="00692033" w:rsidP="00160134">
      <w:pPr>
        <w:pStyle w:val="Paragrafoelenco"/>
        <w:ind w:left="1080"/>
        <w:rPr>
          <w:i/>
          <w:iCs/>
        </w:rPr>
      </w:pPr>
      <w:r>
        <w:rPr>
          <w:i/>
          <w:iCs/>
        </w:rPr>
        <w:t xml:space="preserve">Uno dei punti fondamentali per la progettazione di un registro finanziario globale è che la non trasparenza della contabilità (e cioè i conti “omnibus”) è prevalente nei paesi occidentali </w:t>
      </w:r>
      <w:proofErr w:type="gramStart"/>
      <w:r>
        <w:rPr>
          <w:i/>
          <w:iCs/>
        </w:rPr>
        <w:t>[….</w:t>
      </w:r>
      <w:proofErr w:type="gramEnd"/>
      <w:r>
        <w:rPr>
          <w:i/>
          <w:iCs/>
        </w:rPr>
        <w:t>] e ciò rende difficile costruire un registro finanziario globale basandosi sui CSD occidentali oggi esistenti.</w:t>
      </w:r>
    </w:p>
    <w:p w14:paraId="5B33DD2C" w14:textId="6FB8C7C9" w:rsidR="00692033" w:rsidRDefault="00692033" w:rsidP="00160134">
      <w:pPr>
        <w:pStyle w:val="Paragrafoelenco"/>
        <w:ind w:left="1080"/>
        <w:rPr>
          <w:i/>
          <w:iCs/>
        </w:rPr>
      </w:pPr>
    </w:p>
    <w:p w14:paraId="1ED54BF4" w14:textId="662740E6" w:rsidR="00692033" w:rsidRDefault="00692033" w:rsidP="00160134">
      <w:pPr>
        <w:pStyle w:val="Paragrafoelenco"/>
        <w:ind w:left="1080"/>
        <w:rPr>
          <w:i/>
          <w:iCs/>
        </w:rPr>
      </w:pPr>
      <w:r>
        <w:rPr>
          <w:i/>
          <w:iCs/>
        </w:rPr>
        <w:t>Tuttavia una maggiore trasparenza è possibile. L’attuale sistema</w:t>
      </w:r>
      <w:r w:rsidR="003C07D7">
        <w:rPr>
          <w:i/>
          <w:iCs/>
        </w:rPr>
        <w:t xml:space="preserve"> genera una quantità di rischi di cui</w:t>
      </w:r>
      <w:r w:rsidR="00C55DC6">
        <w:rPr>
          <w:i/>
          <w:iCs/>
        </w:rPr>
        <w:t xml:space="preserve"> la finanza è perfettamente consapevole. Nel 2014 la </w:t>
      </w:r>
      <w:proofErr w:type="spellStart"/>
      <w:r w:rsidR="00C55DC6">
        <w:rPr>
          <w:i/>
          <w:iCs/>
        </w:rPr>
        <w:t>Clearstream</w:t>
      </w:r>
      <w:proofErr w:type="spellEnd"/>
      <w:r w:rsidR="00C55DC6">
        <w:rPr>
          <w:i/>
          <w:iCs/>
        </w:rPr>
        <w:t xml:space="preserve"> Banking del Lussemburgo ha concordato una multa di 152 milioni di USD al Tesoro statunitense in seguito alle accuse di avere 2,8 miliardi di USD </w:t>
      </w:r>
      <w:r w:rsidR="00C55DC6">
        <w:rPr>
          <w:i/>
          <w:iCs/>
        </w:rPr>
        <w:t>in un suo conto omnibus</w:t>
      </w:r>
      <w:r w:rsidR="00C55DC6">
        <w:rPr>
          <w:i/>
          <w:iCs/>
        </w:rPr>
        <w:t xml:space="preserve"> con beneficiaria la Banca centrale dell’Iran che era soggetta a sanzioni da parte del governo USA. In conseguenza di ciò l’industria dei CSD sta discutendo alcune opzioni che potrebbero essere poste in opera per garantire una maggiore trasparenza riguardo agli investitori finali. Queste potrebbero includere la dismissione dei conti omnibus e l’introduzione di nuovi standard</w:t>
      </w:r>
      <w:r w:rsidR="00F11E7F">
        <w:rPr>
          <w:i/>
          <w:iCs/>
        </w:rPr>
        <w:t xml:space="preserve"> per il trasferimento delle informazioni</w:t>
      </w:r>
      <w:r w:rsidR="00D37773">
        <w:rPr>
          <w:i/>
          <w:iCs/>
        </w:rPr>
        <w:t xml:space="preserve"> che potrebbero rendere possibile l’identificazione del beneficiario finale delle transazioni. Nuove tecnologie, come </w:t>
      </w:r>
      <w:proofErr w:type="gramStart"/>
      <w:r w:rsidR="00D37773">
        <w:rPr>
          <w:i/>
          <w:iCs/>
        </w:rPr>
        <w:t>il blockchain</w:t>
      </w:r>
      <w:proofErr w:type="gramEnd"/>
      <w:r w:rsidR="00D37773">
        <w:rPr>
          <w:i/>
          <w:iCs/>
        </w:rPr>
        <w:t>, potrebbero migliorare la tracciabilità.</w:t>
      </w:r>
    </w:p>
    <w:p w14:paraId="0AF1A481" w14:textId="7340A062" w:rsidR="000D39BA" w:rsidRDefault="000D39BA" w:rsidP="00160134">
      <w:pPr>
        <w:pStyle w:val="Paragrafoelenco"/>
        <w:ind w:left="1080"/>
        <w:rPr>
          <w:i/>
          <w:iCs/>
        </w:rPr>
      </w:pPr>
    </w:p>
    <w:p w14:paraId="1155C04C" w14:textId="21BEDE48" w:rsidR="000D39BA" w:rsidRDefault="000D39BA" w:rsidP="00160134">
      <w:pPr>
        <w:pStyle w:val="Paragrafoelenco"/>
        <w:ind w:left="1080"/>
        <w:rPr>
          <w:i/>
          <w:iCs/>
        </w:rPr>
      </w:pPr>
    </w:p>
    <w:p w14:paraId="32622C40" w14:textId="7B4860A6" w:rsidR="000D39BA" w:rsidRDefault="000D39BA" w:rsidP="00160134">
      <w:pPr>
        <w:pStyle w:val="Paragrafoelenco"/>
        <w:ind w:left="1080"/>
        <w:rPr>
          <w:i/>
          <w:iCs/>
        </w:rPr>
      </w:pPr>
    </w:p>
    <w:p w14:paraId="22B0B27F" w14:textId="6FBC8514" w:rsidR="000D39BA" w:rsidRDefault="000D39BA" w:rsidP="00160134">
      <w:pPr>
        <w:pStyle w:val="Paragrafoelenco"/>
        <w:ind w:left="1080"/>
        <w:rPr>
          <w:i/>
          <w:iCs/>
        </w:rPr>
      </w:pPr>
    </w:p>
    <w:p w14:paraId="2E4A5364" w14:textId="746DF85E" w:rsidR="000D39BA" w:rsidRDefault="000D39BA" w:rsidP="00160134">
      <w:pPr>
        <w:pStyle w:val="Paragrafoelenco"/>
        <w:ind w:left="1080"/>
        <w:rPr>
          <w:i/>
          <w:iCs/>
        </w:rPr>
      </w:pPr>
    </w:p>
    <w:p w14:paraId="39DE3492" w14:textId="1C9399C9" w:rsidR="000D39BA" w:rsidRDefault="000D39BA" w:rsidP="00160134">
      <w:pPr>
        <w:pStyle w:val="Paragrafoelenco"/>
        <w:ind w:left="1080"/>
        <w:rPr>
          <w:i/>
          <w:iCs/>
        </w:rPr>
      </w:pPr>
    </w:p>
    <w:p w14:paraId="657F7834" w14:textId="6FFE5EAD" w:rsidR="000D39BA" w:rsidRDefault="00B6496E" w:rsidP="00160134">
      <w:pPr>
        <w:pStyle w:val="Paragrafoelenco"/>
        <w:ind w:left="1080"/>
      </w:pPr>
      <w:r>
        <w:t>Marzo 2022</w:t>
      </w:r>
    </w:p>
    <w:p w14:paraId="0C8310CE" w14:textId="1B286F5A" w:rsidR="0052778F" w:rsidRDefault="0052778F" w:rsidP="00160134">
      <w:pPr>
        <w:pStyle w:val="Paragrafoelenco"/>
        <w:ind w:left="1080"/>
      </w:pPr>
    </w:p>
    <w:p w14:paraId="7944923A" w14:textId="77777777" w:rsidR="0052778F" w:rsidRPr="000D39BA" w:rsidRDefault="0052778F" w:rsidP="00160134">
      <w:pPr>
        <w:pStyle w:val="Paragrafoelenco"/>
        <w:ind w:left="1080"/>
      </w:pPr>
    </w:p>
    <w:p w14:paraId="2C51F700" w14:textId="5F7D85DA" w:rsidR="00D37773" w:rsidRDefault="00D37773" w:rsidP="00160134">
      <w:pPr>
        <w:pStyle w:val="Paragrafoelenco"/>
        <w:ind w:left="1080"/>
        <w:rPr>
          <w:i/>
          <w:iCs/>
        </w:rPr>
      </w:pPr>
    </w:p>
    <w:p w14:paraId="6D84E7A4" w14:textId="1EB76A8D" w:rsidR="00D37773" w:rsidRPr="00D37773" w:rsidRDefault="00D37773" w:rsidP="00160134">
      <w:pPr>
        <w:pStyle w:val="Paragrafoelenco"/>
        <w:ind w:left="1080"/>
      </w:pPr>
    </w:p>
    <w:p w14:paraId="382932BE" w14:textId="77777777" w:rsidR="00122250" w:rsidRDefault="00122250" w:rsidP="00D84B4D"/>
    <w:p w14:paraId="1476377C" w14:textId="108A6609" w:rsidR="004948DC" w:rsidRDefault="00423E8C" w:rsidP="00A64F13">
      <w:pPr>
        <w:pStyle w:val="Paragrafoelenco"/>
      </w:pPr>
      <w:r>
        <w:t xml:space="preserve"> </w:t>
      </w:r>
      <w:r w:rsidR="00D84B4D">
        <w:tab/>
      </w:r>
    </w:p>
    <w:sectPr w:rsidR="004948D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88D2" w14:textId="77777777" w:rsidR="008571B4" w:rsidRDefault="008571B4" w:rsidP="008571B4">
      <w:pPr>
        <w:spacing w:after="0" w:line="240" w:lineRule="auto"/>
      </w:pPr>
      <w:r>
        <w:separator/>
      </w:r>
    </w:p>
  </w:endnote>
  <w:endnote w:type="continuationSeparator" w:id="0">
    <w:p w14:paraId="5B5F3CC5" w14:textId="77777777" w:rsidR="008571B4" w:rsidRDefault="008571B4" w:rsidP="0085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2733" w14:textId="77777777" w:rsidR="008571B4" w:rsidRDefault="008571B4" w:rsidP="008571B4">
      <w:pPr>
        <w:spacing w:after="0" w:line="240" w:lineRule="auto"/>
      </w:pPr>
      <w:r>
        <w:separator/>
      </w:r>
    </w:p>
  </w:footnote>
  <w:footnote w:type="continuationSeparator" w:id="0">
    <w:p w14:paraId="6FE6BF2A" w14:textId="77777777" w:rsidR="008571B4" w:rsidRDefault="008571B4" w:rsidP="008571B4">
      <w:pPr>
        <w:spacing w:after="0" w:line="240" w:lineRule="auto"/>
      </w:pPr>
      <w:r>
        <w:continuationSeparator/>
      </w:r>
    </w:p>
  </w:footnote>
  <w:footnote w:id="1">
    <w:p w14:paraId="0443B702" w14:textId="5DFC47F2" w:rsidR="00DD7310" w:rsidRDefault="00DD7310">
      <w:pPr>
        <w:pStyle w:val="Testonotaapidipagina"/>
      </w:pPr>
      <w:r>
        <w:rPr>
          <w:rStyle w:val="Rimandonotaapidipagina"/>
        </w:rPr>
        <w:footnoteRef/>
      </w:r>
      <w:r>
        <w:t xml:space="preserve"> World </w:t>
      </w:r>
      <w:proofErr w:type="spellStart"/>
      <w:r>
        <w:t>Inequaity</w:t>
      </w:r>
      <w:proofErr w:type="spellEnd"/>
      <w:r>
        <w:t xml:space="preserve"> Report 2022</w:t>
      </w:r>
      <w:r w:rsidR="00306C42">
        <w:t xml:space="preserve"> (WIR 2022)</w:t>
      </w:r>
      <w:r>
        <w:t xml:space="preserve"> – pag.93 fig. 4.4</w:t>
      </w:r>
    </w:p>
  </w:footnote>
  <w:footnote w:id="2">
    <w:p w14:paraId="75B59AE8" w14:textId="172B90EC" w:rsidR="00FD5971" w:rsidRDefault="00FD5971">
      <w:pPr>
        <w:pStyle w:val="Testonotaapidipagina"/>
      </w:pPr>
      <w:r>
        <w:rPr>
          <w:rStyle w:val="Rimandonotaapidipagina"/>
        </w:rPr>
        <w:footnoteRef/>
      </w:r>
      <w:r>
        <w:t xml:space="preserve"> </w:t>
      </w:r>
      <w:hyperlink r:id="rId1" w:history="1">
        <w:r w:rsidRPr="000D71EA">
          <w:rPr>
            <w:rStyle w:val="Collegamentoipertestuale"/>
          </w:rPr>
          <w:t>https://wid.world</w:t>
        </w:r>
      </w:hyperlink>
      <w:r>
        <w:t xml:space="preserve"> </w:t>
      </w:r>
    </w:p>
  </w:footnote>
  <w:footnote w:id="3">
    <w:p w14:paraId="5EB61CBF" w14:textId="5DD63FB9" w:rsidR="008571B4" w:rsidRPr="00FD5971" w:rsidRDefault="008571B4" w:rsidP="00FD5971">
      <w:pPr>
        <w:pStyle w:val="Paragrafoelenco"/>
        <w:ind w:left="0"/>
        <w:rPr>
          <w:sz w:val="18"/>
          <w:szCs w:val="18"/>
        </w:rPr>
      </w:pPr>
      <w:r w:rsidRPr="00423E8C">
        <w:rPr>
          <w:rStyle w:val="Rimandonotaapidipagina"/>
          <w:sz w:val="18"/>
          <w:szCs w:val="18"/>
        </w:rPr>
        <w:footnoteRef/>
      </w:r>
      <w:r w:rsidRPr="00423E8C">
        <w:rPr>
          <w:sz w:val="18"/>
          <w:szCs w:val="18"/>
        </w:rPr>
        <w:t xml:space="preserve"> </w:t>
      </w:r>
      <w:proofErr w:type="spellStart"/>
      <w:r w:rsidRPr="00423E8C">
        <w:rPr>
          <w:sz w:val="18"/>
          <w:szCs w:val="18"/>
        </w:rPr>
        <w:t>Chancel</w:t>
      </w:r>
      <w:proofErr w:type="spellEnd"/>
      <w:r w:rsidRPr="00423E8C">
        <w:rPr>
          <w:sz w:val="18"/>
          <w:szCs w:val="18"/>
        </w:rPr>
        <w:t xml:space="preserve"> L., </w:t>
      </w:r>
      <w:proofErr w:type="spellStart"/>
      <w:r w:rsidRPr="00423E8C">
        <w:rPr>
          <w:sz w:val="18"/>
          <w:szCs w:val="18"/>
        </w:rPr>
        <w:t>Piketty</w:t>
      </w:r>
      <w:proofErr w:type="spellEnd"/>
      <w:r w:rsidRPr="00423E8C">
        <w:rPr>
          <w:sz w:val="18"/>
          <w:szCs w:val="18"/>
        </w:rPr>
        <w:t xml:space="preserve"> T., Saez </w:t>
      </w:r>
      <w:proofErr w:type="gramStart"/>
      <w:r w:rsidRPr="00423E8C">
        <w:rPr>
          <w:sz w:val="18"/>
          <w:szCs w:val="18"/>
        </w:rPr>
        <w:t>E.,</w:t>
      </w:r>
      <w:proofErr w:type="spellStart"/>
      <w:r w:rsidRPr="00423E8C">
        <w:rPr>
          <w:sz w:val="18"/>
          <w:szCs w:val="18"/>
        </w:rPr>
        <w:t>Zucman</w:t>
      </w:r>
      <w:proofErr w:type="spellEnd"/>
      <w:proofErr w:type="gramEnd"/>
      <w:r w:rsidRPr="00423E8C">
        <w:rPr>
          <w:sz w:val="18"/>
          <w:szCs w:val="18"/>
        </w:rPr>
        <w:t xml:space="preserve"> G. et al. – World </w:t>
      </w:r>
      <w:proofErr w:type="spellStart"/>
      <w:r w:rsidRPr="00423E8C">
        <w:rPr>
          <w:sz w:val="18"/>
          <w:szCs w:val="18"/>
        </w:rPr>
        <w:t>Inequality</w:t>
      </w:r>
      <w:proofErr w:type="spellEnd"/>
      <w:r w:rsidRPr="00423E8C">
        <w:rPr>
          <w:sz w:val="18"/>
          <w:szCs w:val="18"/>
        </w:rPr>
        <w:t xml:space="preserve"> Report 2022, World </w:t>
      </w:r>
      <w:proofErr w:type="spellStart"/>
      <w:r w:rsidRPr="00423E8C">
        <w:rPr>
          <w:sz w:val="18"/>
          <w:szCs w:val="18"/>
        </w:rPr>
        <w:t>Inequality</w:t>
      </w:r>
      <w:proofErr w:type="spellEnd"/>
      <w:r w:rsidRPr="00423E8C">
        <w:rPr>
          <w:sz w:val="18"/>
          <w:szCs w:val="18"/>
        </w:rPr>
        <w:t xml:space="preserve"> Lab – </w:t>
      </w:r>
      <w:hyperlink r:id="rId2" w:history="1">
        <w:r w:rsidR="00423E8C" w:rsidRPr="00423E8C">
          <w:rPr>
            <w:rStyle w:val="Collegamentoipertestuale"/>
            <w:sz w:val="18"/>
            <w:szCs w:val="18"/>
          </w:rPr>
          <w:t>https://wir2022.wid.world</w:t>
        </w:r>
      </w:hyperlink>
    </w:p>
  </w:footnote>
  <w:footnote w:id="4">
    <w:p w14:paraId="5DBC6977" w14:textId="1797DCA4" w:rsidR="00FD5971" w:rsidRDefault="00FD5971">
      <w:pPr>
        <w:pStyle w:val="Testonotaapidipagina"/>
      </w:pPr>
      <w:r>
        <w:rPr>
          <w:rStyle w:val="Rimandonotaapidipagina"/>
        </w:rPr>
        <w:footnoteRef/>
      </w:r>
      <w:r>
        <w:t xml:space="preserve"> Le citazioni dal testo sono riportate in corsivo. La traduzione è mia.</w:t>
      </w:r>
    </w:p>
  </w:footnote>
  <w:footnote w:id="5">
    <w:p w14:paraId="109E78B0" w14:textId="2431DD08" w:rsidR="00DD7310" w:rsidRDefault="00DD7310">
      <w:pPr>
        <w:pStyle w:val="Testonotaapidipagina"/>
      </w:pPr>
      <w:r>
        <w:rPr>
          <w:rStyle w:val="Rimandonotaapidipagina"/>
        </w:rPr>
        <w:footnoteRef/>
      </w:r>
      <w:r>
        <w:t xml:space="preserve"> Per “ricchezza” o “patrimonio” intendiamo qui </w:t>
      </w:r>
      <w:r w:rsidR="00646321">
        <w:t xml:space="preserve">tutte </w:t>
      </w:r>
      <w:r>
        <w:t xml:space="preserve">le risorse di cui </w:t>
      </w:r>
      <w:r w:rsidR="00646321">
        <w:t xml:space="preserve">dispone </w:t>
      </w:r>
      <w:r>
        <w:t>un singolo cittadino</w:t>
      </w:r>
      <w:r w:rsidR="00646321">
        <w:t xml:space="preserve"> adulto: immobili, terreni, risorse finanziarie di vario genere (partecipazioni azionarie, obbligazioni pubbliche e private, fondi pensione, fondi di investimento ecc.) con l’esclusione dei beni di consumo durevoli (autoveicoli, aerei, natanti ecc.)</w:t>
      </w:r>
    </w:p>
  </w:footnote>
  <w:footnote w:id="6">
    <w:p w14:paraId="071606A1" w14:textId="197BC2FE" w:rsidR="00B5384B" w:rsidRDefault="00B5384B">
      <w:pPr>
        <w:pStyle w:val="Testonotaapidipagina"/>
      </w:pPr>
      <w:r>
        <w:rPr>
          <w:rStyle w:val="Rimandonotaapidipagina"/>
        </w:rPr>
        <w:footnoteRef/>
      </w:r>
      <w:r>
        <w:t xml:space="preserve"> WIR 2022 – pag. 138</w:t>
      </w:r>
    </w:p>
  </w:footnote>
  <w:footnote w:id="7">
    <w:p w14:paraId="41388038" w14:textId="68619C57" w:rsidR="003D2091" w:rsidRDefault="003D2091">
      <w:pPr>
        <w:pStyle w:val="Testonotaapidipagina"/>
      </w:pPr>
      <w:r>
        <w:rPr>
          <w:rStyle w:val="Rimandonotaapidipagina"/>
        </w:rPr>
        <w:footnoteRef/>
      </w:r>
      <w:r>
        <w:t xml:space="preserve"> WIR 2022 – pag. 144</w:t>
      </w:r>
    </w:p>
  </w:footnote>
  <w:footnote w:id="8">
    <w:p w14:paraId="246804E8" w14:textId="1B4FD480" w:rsidR="00167502" w:rsidRDefault="00167502">
      <w:pPr>
        <w:pStyle w:val="Testonotaapidipagina"/>
      </w:pPr>
      <w:r>
        <w:rPr>
          <w:rStyle w:val="Rimandonotaapidipagina"/>
        </w:rPr>
        <w:footnoteRef/>
      </w:r>
      <w:r>
        <w:t xml:space="preserve"> Dedotta da WIR 2022 </w:t>
      </w:r>
      <w:r w:rsidR="00816422">
        <w:t xml:space="preserve">– </w:t>
      </w:r>
      <w:r>
        <w:t>pag. 152</w:t>
      </w:r>
    </w:p>
  </w:footnote>
  <w:footnote w:id="9">
    <w:p w14:paraId="27B4DDF4" w14:textId="3D4A9EFD" w:rsidR="00E51A71" w:rsidRDefault="00E51A71">
      <w:pPr>
        <w:pStyle w:val="Testonotaapidipagina"/>
      </w:pPr>
      <w:r>
        <w:rPr>
          <w:rStyle w:val="Rimandonotaapidipagina"/>
        </w:rPr>
        <w:footnoteRef/>
      </w:r>
      <w:r>
        <w:t xml:space="preserve"> Foreign Account Tax Compliance Act</w:t>
      </w:r>
    </w:p>
  </w:footnote>
  <w:footnote w:id="10">
    <w:p w14:paraId="7ACD5B6E" w14:textId="79CB9C64" w:rsidR="00660568" w:rsidRDefault="00660568">
      <w:pPr>
        <w:pStyle w:val="Testonotaapidipagina"/>
      </w:pPr>
      <w:r>
        <w:rPr>
          <w:rStyle w:val="Rimandonotaapidipagina"/>
        </w:rPr>
        <w:footnoteRef/>
      </w:r>
      <w:r>
        <w:t xml:space="preserve"> Directive on </w:t>
      </w:r>
      <w:proofErr w:type="spellStart"/>
      <w:r>
        <w:t>Administrative</w:t>
      </w:r>
      <w:proofErr w:type="spellEnd"/>
      <w:r>
        <w:t xml:space="preserve"> </w:t>
      </w:r>
      <w:proofErr w:type="spellStart"/>
      <w:r>
        <w:t>Cooperation</w:t>
      </w:r>
      <w:proofErr w:type="spellEnd"/>
    </w:p>
  </w:footnote>
  <w:footnote w:id="11">
    <w:p w14:paraId="5060D8F5" w14:textId="77B29AE2" w:rsidR="0002130B" w:rsidRDefault="0002130B">
      <w:pPr>
        <w:pStyle w:val="Testonotaapidipagina"/>
      </w:pPr>
      <w:r>
        <w:rPr>
          <w:rStyle w:val="Rimandonotaapidipagina"/>
        </w:rPr>
        <w:footnoteRef/>
      </w:r>
      <w:r>
        <w:t xml:space="preserve"> W</w:t>
      </w:r>
      <w:r w:rsidR="00733C96">
        <w:t>I</w:t>
      </w:r>
      <w:r>
        <w:t>R 2022 – pag. 157-158</w:t>
      </w:r>
    </w:p>
  </w:footnote>
  <w:footnote w:id="12">
    <w:p w14:paraId="1DD2103E" w14:textId="61AA245E" w:rsidR="00160134" w:rsidRDefault="00160134">
      <w:pPr>
        <w:pStyle w:val="Testonotaapidipagina"/>
      </w:pPr>
      <w:r>
        <w:rPr>
          <w:rStyle w:val="Rimandonotaapidipagina"/>
        </w:rPr>
        <w:footnoteRef/>
      </w:r>
      <w:r>
        <w:t xml:space="preserve"> WIR 2022 - pag. 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E3E5F"/>
    <w:multiLevelType w:val="multilevel"/>
    <w:tmpl w:val="C7024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13"/>
    <w:rsid w:val="000062A3"/>
    <w:rsid w:val="0002130B"/>
    <w:rsid w:val="00022BF2"/>
    <w:rsid w:val="000C4965"/>
    <w:rsid w:val="000D39BA"/>
    <w:rsid w:val="000F1BE9"/>
    <w:rsid w:val="00122250"/>
    <w:rsid w:val="00142EEC"/>
    <w:rsid w:val="00160134"/>
    <w:rsid w:val="00167502"/>
    <w:rsid w:val="00174920"/>
    <w:rsid w:val="0018135D"/>
    <w:rsid w:val="001843B2"/>
    <w:rsid w:val="001D13DE"/>
    <w:rsid w:val="001E287F"/>
    <w:rsid w:val="002033E9"/>
    <w:rsid w:val="002078D3"/>
    <w:rsid w:val="00217D12"/>
    <w:rsid w:val="002502B0"/>
    <w:rsid w:val="00291BBE"/>
    <w:rsid w:val="00297650"/>
    <w:rsid w:val="00306C42"/>
    <w:rsid w:val="00312E47"/>
    <w:rsid w:val="00314DE8"/>
    <w:rsid w:val="00396070"/>
    <w:rsid w:val="003972F7"/>
    <w:rsid w:val="003A74D1"/>
    <w:rsid w:val="003C07D7"/>
    <w:rsid w:val="003C2909"/>
    <w:rsid w:val="003D2091"/>
    <w:rsid w:val="00422A34"/>
    <w:rsid w:val="00423E8C"/>
    <w:rsid w:val="00430FF8"/>
    <w:rsid w:val="00472E77"/>
    <w:rsid w:val="004948DC"/>
    <w:rsid w:val="00496889"/>
    <w:rsid w:val="004C08ED"/>
    <w:rsid w:val="004F0C9D"/>
    <w:rsid w:val="005216A6"/>
    <w:rsid w:val="005260BD"/>
    <w:rsid w:val="0052778F"/>
    <w:rsid w:val="0053705E"/>
    <w:rsid w:val="005525D9"/>
    <w:rsid w:val="005B2EDE"/>
    <w:rsid w:val="005C0AE3"/>
    <w:rsid w:val="00646321"/>
    <w:rsid w:val="00660568"/>
    <w:rsid w:val="006907BD"/>
    <w:rsid w:val="006913D3"/>
    <w:rsid w:val="00692033"/>
    <w:rsid w:val="006920B8"/>
    <w:rsid w:val="006F0D7E"/>
    <w:rsid w:val="00733C96"/>
    <w:rsid w:val="0073688E"/>
    <w:rsid w:val="007447BC"/>
    <w:rsid w:val="007B034D"/>
    <w:rsid w:val="007B739A"/>
    <w:rsid w:val="007D0200"/>
    <w:rsid w:val="007D6987"/>
    <w:rsid w:val="00816422"/>
    <w:rsid w:val="008571B4"/>
    <w:rsid w:val="008607F6"/>
    <w:rsid w:val="00861536"/>
    <w:rsid w:val="00877AEC"/>
    <w:rsid w:val="008802C5"/>
    <w:rsid w:val="00892018"/>
    <w:rsid w:val="008E075B"/>
    <w:rsid w:val="008F083B"/>
    <w:rsid w:val="00915AC3"/>
    <w:rsid w:val="00924B29"/>
    <w:rsid w:val="00945574"/>
    <w:rsid w:val="00A47B55"/>
    <w:rsid w:val="00A56E20"/>
    <w:rsid w:val="00A64F13"/>
    <w:rsid w:val="00AF4319"/>
    <w:rsid w:val="00B16A16"/>
    <w:rsid w:val="00B24091"/>
    <w:rsid w:val="00B35871"/>
    <w:rsid w:val="00B5384B"/>
    <w:rsid w:val="00B6496E"/>
    <w:rsid w:val="00BA2C53"/>
    <w:rsid w:val="00C476D5"/>
    <w:rsid w:val="00C55DC6"/>
    <w:rsid w:val="00C87447"/>
    <w:rsid w:val="00CA41B0"/>
    <w:rsid w:val="00CD1C9B"/>
    <w:rsid w:val="00CF4DF8"/>
    <w:rsid w:val="00CF525C"/>
    <w:rsid w:val="00D16904"/>
    <w:rsid w:val="00D37773"/>
    <w:rsid w:val="00D4737C"/>
    <w:rsid w:val="00D71B28"/>
    <w:rsid w:val="00D84B4D"/>
    <w:rsid w:val="00DD7310"/>
    <w:rsid w:val="00E11E77"/>
    <w:rsid w:val="00E14CB8"/>
    <w:rsid w:val="00E269B1"/>
    <w:rsid w:val="00E3124E"/>
    <w:rsid w:val="00E51A71"/>
    <w:rsid w:val="00E926CC"/>
    <w:rsid w:val="00F11E7F"/>
    <w:rsid w:val="00F248AD"/>
    <w:rsid w:val="00F25411"/>
    <w:rsid w:val="00F375A9"/>
    <w:rsid w:val="00F43119"/>
    <w:rsid w:val="00F857DA"/>
    <w:rsid w:val="00FB6C83"/>
    <w:rsid w:val="00FD5971"/>
    <w:rsid w:val="00FF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6171"/>
  <w15:chartTrackingRefBased/>
  <w15:docId w15:val="{2A3E9B4D-51F9-41B3-96A0-D7AB3183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4F13"/>
    <w:pPr>
      <w:ind w:left="720"/>
      <w:contextualSpacing/>
    </w:pPr>
  </w:style>
  <w:style w:type="paragraph" w:styleId="Testonotaapidipagina">
    <w:name w:val="footnote text"/>
    <w:basedOn w:val="Normale"/>
    <w:link w:val="TestonotaapidipaginaCarattere"/>
    <w:uiPriority w:val="99"/>
    <w:semiHidden/>
    <w:unhideWhenUsed/>
    <w:rsid w:val="008571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571B4"/>
    <w:rPr>
      <w:sz w:val="20"/>
      <w:szCs w:val="20"/>
    </w:rPr>
  </w:style>
  <w:style w:type="character" w:styleId="Rimandonotaapidipagina">
    <w:name w:val="footnote reference"/>
    <w:basedOn w:val="Carpredefinitoparagrafo"/>
    <w:uiPriority w:val="99"/>
    <w:semiHidden/>
    <w:unhideWhenUsed/>
    <w:rsid w:val="008571B4"/>
    <w:rPr>
      <w:vertAlign w:val="superscript"/>
    </w:rPr>
  </w:style>
  <w:style w:type="character" w:styleId="Collegamentoipertestuale">
    <w:name w:val="Hyperlink"/>
    <w:basedOn w:val="Carpredefinitoparagrafo"/>
    <w:uiPriority w:val="99"/>
    <w:unhideWhenUsed/>
    <w:rsid w:val="008571B4"/>
    <w:rPr>
      <w:color w:val="0563C1" w:themeColor="hyperlink"/>
      <w:u w:val="single"/>
    </w:rPr>
  </w:style>
  <w:style w:type="character" w:styleId="Menzionenonrisolta">
    <w:name w:val="Unresolved Mention"/>
    <w:basedOn w:val="Carpredefinitoparagrafo"/>
    <w:uiPriority w:val="99"/>
    <w:semiHidden/>
    <w:unhideWhenUsed/>
    <w:rsid w:val="008571B4"/>
    <w:rPr>
      <w:color w:val="605E5C"/>
      <w:shd w:val="clear" w:color="auto" w:fill="E1DFDD"/>
    </w:rPr>
  </w:style>
  <w:style w:type="character" w:styleId="Collegamentovisitato">
    <w:name w:val="FollowedHyperlink"/>
    <w:basedOn w:val="Carpredefinitoparagrafo"/>
    <w:uiPriority w:val="99"/>
    <w:semiHidden/>
    <w:unhideWhenUsed/>
    <w:rsid w:val="008571B4"/>
    <w:rPr>
      <w:color w:val="954F72" w:themeColor="followedHyperlink"/>
      <w:u w:val="single"/>
    </w:rPr>
  </w:style>
  <w:style w:type="character" w:styleId="Rimandocommento">
    <w:name w:val="annotation reference"/>
    <w:basedOn w:val="Carpredefinitoparagrafo"/>
    <w:uiPriority w:val="99"/>
    <w:semiHidden/>
    <w:unhideWhenUsed/>
    <w:rsid w:val="00FF2FE6"/>
    <w:rPr>
      <w:sz w:val="16"/>
      <w:szCs w:val="16"/>
    </w:rPr>
  </w:style>
  <w:style w:type="paragraph" w:styleId="Testocommento">
    <w:name w:val="annotation text"/>
    <w:basedOn w:val="Normale"/>
    <w:link w:val="TestocommentoCarattere"/>
    <w:uiPriority w:val="99"/>
    <w:semiHidden/>
    <w:unhideWhenUsed/>
    <w:rsid w:val="00FF2F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F2FE6"/>
    <w:rPr>
      <w:sz w:val="20"/>
      <w:szCs w:val="20"/>
    </w:rPr>
  </w:style>
  <w:style w:type="paragraph" w:styleId="Soggettocommento">
    <w:name w:val="annotation subject"/>
    <w:basedOn w:val="Testocommento"/>
    <w:next w:val="Testocommento"/>
    <w:link w:val="SoggettocommentoCarattere"/>
    <w:uiPriority w:val="99"/>
    <w:semiHidden/>
    <w:unhideWhenUsed/>
    <w:rsid w:val="00FF2FE6"/>
    <w:rPr>
      <w:b/>
      <w:bCs/>
    </w:rPr>
  </w:style>
  <w:style w:type="character" w:customStyle="1" w:styleId="SoggettocommentoCarattere">
    <w:name w:val="Soggetto commento Carattere"/>
    <w:basedOn w:val="TestocommentoCarattere"/>
    <w:link w:val="Soggettocommento"/>
    <w:uiPriority w:val="99"/>
    <w:semiHidden/>
    <w:rsid w:val="00FF2F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7563">
      <w:bodyDiv w:val="1"/>
      <w:marLeft w:val="0"/>
      <w:marRight w:val="0"/>
      <w:marTop w:val="0"/>
      <w:marBottom w:val="0"/>
      <w:divBdr>
        <w:top w:val="none" w:sz="0" w:space="0" w:color="auto"/>
        <w:left w:val="none" w:sz="0" w:space="0" w:color="auto"/>
        <w:bottom w:val="none" w:sz="0" w:space="0" w:color="auto"/>
        <w:right w:val="none" w:sz="0" w:space="0" w:color="auto"/>
      </w:divBdr>
    </w:div>
    <w:div w:id="701705499">
      <w:bodyDiv w:val="1"/>
      <w:marLeft w:val="0"/>
      <w:marRight w:val="0"/>
      <w:marTop w:val="0"/>
      <w:marBottom w:val="0"/>
      <w:divBdr>
        <w:top w:val="none" w:sz="0" w:space="0" w:color="auto"/>
        <w:left w:val="none" w:sz="0" w:space="0" w:color="auto"/>
        <w:bottom w:val="none" w:sz="0" w:space="0" w:color="auto"/>
        <w:right w:val="none" w:sz="0" w:space="0" w:color="auto"/>
      </w:divBdr>
    </w:div>
    <w:div w:id="909970424">
      <w:bodyDiv w:val="1"/>
      <w:marLeft w:val="0"/>
      <w:marRight w:val="0"/>
      <w:marTop w:val="0"/>
      <w:marBottom w:val="0"/>
      <w:divBdr>
        <w:top w:val="none" w:sz="0" w:space="0" w:color="auto"/>
        <w:left w:val="none" w:sz="0" w:space="0" w:color="auto"/>
        <w:bottom w:val="none" w:sz="0" w:space="0" w:color="auto"/>
        <w:right w:val="none" w:sz="0" w:space="0" w:color="auto"/>
      </w:divBdr>
    </w:div>
    <w:div w:id="1286305458">
      <w:bodyDiv w:val="1"/>
      <w:marLeft w:val="0"/>
      <w:marRight w:val="0"/>
      <w:marTop w:val="0"/>
      <w:marBottom w:val="0"/>
      <w:divBdr>
        <w:top w:val="none" w:sz="0" w:space="0" w:color="auto"/>
        <w:left w:val="none" w:sz="0" w:space="0" w:color="auto"/>
        <w:bottom w:val="none" w:sz="0" w:space="0" w:color="auto"/>
        <w:right w:val="none" w:sz="0" w:space="0" w:color="auto"/>
      </w:divBdr>
    </w:div>
    <w:div w:id="1638489001">
      <w:bodyDiv w:val="1"/>
      <w:marLeft w:val="0"/>
      <w:marRight w:val="0"/>
      <w:marTop w:val="0"/>
      <w:marBottom w:val="0"/>
      <w:divBdr>
        <w:top w:val="none" w:sz="0" w:space="0" w:color="auto"/>
        <w:left w:val="none" w:sz="0" w:space="0" w:color="auto"/>
        <w:bottom w:val="none" w:sz="0" w:space="0" w:color="auto"/>
        <w:right w:val="none" w:sz="0" w:space="0" w:color="auto"/>
      </w:divBdr>
    </w:div>
    <w:div w:id="1896546623">
      <w:bodyDiv w:val="1"/>
      <w:marLeft w:val="0"/>
      <w:marRight w:val="0"/>
      <w:marTop w:val="0"/>
      <w:marBottom w:val="0"/>
      <w:divBdr>
        <w:top w:val="none" w:sz="0" w:space="0" w:color="auto"/>
        <w:left w:val="none" w:sz="0" w:space="0" w:color="auto"/>
        <w:bottom w:val="none" w:sz="0" w:space="0" w:color="auto"/>
        <w:right w:val="none" w:sz="0" w:space="0" w:color="auto"/>
      </w:divBdr>
    </w:div>
    <w:div w:id="19359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ir2022.wid.world" TargetMode="External"/><Relationship Id="rId1" Type="http://schemas.openxmlformats.org/officeDocument/2006/relationships/hyperlink" Target="https://wid.worl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11D4-AC93-47D8-AEBE-B4D82E2F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18315</TotalTime>
  <Pages>12</Pages>
  <Words>4940</Words>
  <Characters>28159</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modena</dc:creator>
  <cp:keywords/>
  <dc:description/>
  <cp:lastModifiedBy>Gustavo modena</cp:lastModifiedBy>
  <cp:revision>33</cp:revision>
  <dcterms:created xsi:type="dcterms:W3CDTF">2022-02-16T15:38:00Z</dcterms:created>
  <dcterms:modified xsi:type="dcterms:W3CDTF">2022-03-02T00:31:00Z</dcterms:modified>
</cp:coreProperties>
</file>